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840E2">
      <w:pPr>
        <w:widowControl/>
        <w:spacing w:after="240"/>
        <w:jc w:val="center"/>
        <w:rPr>
          <w:rFonts w:hint="eastAsia" w:ascii="方正小标宋简体" w:hAnsi="方正小标宋简体" w:eastAsia="方正小标宋简体" w:cs="方正小标宋简体"/>
          <w:bCs/>
          <w:kern w:val="0"/>
          <w:sz w:val="44"/>
          <w:szCs w:val="44"/>
          <w:lang w:val="en-GB" w:bidi="ar-AE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2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 w14:paraId="31E76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 w14:paraId="71AEF71F">
            <w:pPr>
              <w:adjustRightInd w:val="0"/>
              <w:snapToGrid w:val="0"/>
              <w:spacing w:after="0"/>
              <w:jc w:val="both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  <w:lang w:val="en-US" w:eastAsia="en-GB" w:bidi="ar-AE"/>
              </w:rPr>
            </w:pPr>
            <w: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 w14:paraId="4AAB871C">
            <w:pPr>
              <w:widowControl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kern w:val="0"/>
                <w:sz w:val="24"/>
                <w:lang w:val="en-US" w:bidi="ar-AE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1"/>
                <w:lang w:val="en-GB" w:bidi="ar-AE"/>
              </w:rPr>
              <w:t>更好科技控股（深圳）有限公司收购创业慧康科技股份有限公司股权案</w:t>
            </w:r>
          </w:p>
        </w:tc>
      </w:tr>
      <w:tr w14:paraId="3EAA2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 w14:paraId="58028558">
            <w:pPr>
              <w:adjustRightInd w:val="0"/>
              <w:snapToGrid w:val="0"/>
              <w:spacing w:after="0"/>
              <w:jc w:val="both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  <w:lang w:val="en-US" w:eastAsia="zh-CN" w:bidi="ar-AE"/>
              </w:rPr>
            </w:pPr>
            <w: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  <w:lang w:val="en-GB" w:eastAsia="zh-CN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 w14:paraId="347B701E"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 w:cs="Times New Roman"/>
                <w:bCs/>
                <w:color w:val="000000"/>
                <w:kern w:val="0"/>
                <w:sz w:val="24"/>
                <w:lang w:val="en-GB" w:bidi="ar-A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4"/>
                <w:szCs w:val="21"/>
                <w:lang w:val="en-GB" w:bidi="ar-AE"/>
              </w:rPr>
              <w:t>更好科技控股（深圳）有限公司</w:t>
            </w:r>
            <w:r>
              <w:rPr>
                <w:rFonts w:hint="eastAsia" w:ascii="宋体" w:hAnsi="宋体" w:cs="Times New Roman"/>
                <w:bCs/>
                <w:color w:val="auto"/>
                <w:kern w:val="0"/>
                <w:sz w:val="24"/>
                <w:lang w:val="en-US" w:bidi="ar-AE"/>
              </w:rPr>
              <w:t>（“</w:t>
            </w:r>
            <w:r>
              <w:rPr>
                <w:rFonts w:hint="eastAsia" w:ascii="宋体" w:hAnsi="宋体" w:cs="Times New Roman"/>
                <w:b/>
                <w:color w:val="auto"/>
                <w:kern w:val="0"/>
                <w:sz w:val="24"/>
                <w:lang w:val="en-GB" w:bidi="ar-AE"/>
              </w:rPr>
              <w:t>深圳更好</w:t>
            </w:r>
            <w:r>
              <w:rPr>
                <w:rFonts w:hint="eastAsia" w:ascii="宋体" w:hAnsi="宋体" w:cs="Times New Roman"/>
                <w:bCs/>
                <w:color w:val="auto"/>
                <w:kern w:val="0"/>
                <w:sz w:val="24"/>
                <w:lang w:val="en-GB" w:bidi="ar-AE"/>
              </w:rPr>
              <w:t>”）下属投资平台</w:t>
            </w:r>
            <w:r>
              <w:rPr>
                <w:rFonts w:ascii="Times New Roman" w:hAnsi="Times New Roman" w:cs="Times New Roman"/>
                <w:color w:val="auto"/>
                <w:kern w:val="0"/>
                <w:sz w:val="24"/>
                <w:lang w:val="en-GB" w:bidi="ar-AE"/>
              </w:rPr>
              <w:t>杭州更好智投管理咨询合伙企业（有限合伙）（“</w:t>
            </w:r>
            <w:r>
              <w:rPr>
                <w:rFonts w:ascii="Times New Roman" w:hAnsi="Times New Roman" w:cs="Times New Roman"/>
                <w:b/>
                <w:bCs/>
                <w:color w:val="auto"/>
                <w:kern w:val="0"/>
                <w:sz w:val="24"/>
                <w:lang w:val="en-GB" w:bidi="ar-AE"/>
              </w:rPr>
              <w:t>杭州更好</w:t>
            </w:r>
            <w:r>
              <w:rPr>
                <w:rFonts w:ascii="Times New Roman" w:hAnsi="Times New Roman" w:cs="Times New Roman"/>
                <w:color w:val="auto"/>
                <w:kern w:val="0"/>
                <w:sz w:val="24"/>
                <w:lang w:val="en-GB" w:bidi="ar-AE"/>
              </w:rPr>
              <w:t>”）</w:t>
            </w:r>
            <w:r>
              <w:rPr>
                <w:rFonts w:hint="eastAsia" w:ascii="宋体" w:hAnsi="宋体" w:cs="Times New Roman"/>
                <w:bCs/>
                <w:color w:val="auto"/>
                <w:kern w:val="0"/>
                <w:sz w:val="24"/>
                <w:lang w:val="en-GB" w:bidi="ar-AE"/>
              </w:rPr>
              <w:t>与葛航</w:t>
            </w:r>
            <w:r>
              <w:rPr>
                <w:rFonts w:hint="eastAsia" w:ascii="宋体" w:hAnsi="宋体" w:cs="Times New Roman"/>
                <w:bCs/>
                <w:color w:val="auto"/>
                <w:kern w:val="0"/>
                <w:sz w:val="24"/>
                <w:lang w:val="en-US" w:bidi="ar-AE"/>
              </w:rPr>
              <w:t>、锦福源（海南）私募基金管理合伙企业（有限合伙）分别</w:t>
            </w:r>
            <w:r>
              <w:rPr>
                <w:rFonts w:hint="eastAsia" w:ascii="宋体" w:hAnsi="宋体" w:cs="Times New Roman"/>
                <w:bCs/>
                <w:color w:val="auto"/>
                <w:kern w:val="0"/>
                <w:sz w:val="24"/>
                <w:lang w:val="en-GB" w:bidi="ar-AE"/>
              </w:rPr>
              <w:t>签署协议，杭州更好拟收购葛航</w:t>
            </w:r>
            <w:r>
              <w:rPr>
                <w:rFonts w:hint="eastAsia" w:ascii="宋体" w:hAnsi="宋体" w:cs="Times New Roman"/>
                <w:bCs/>
                <w:color w:val="auto"/>
                <w:kern w:val="0"/>
                <w:sz w:val="24"/>
                <w:lang w:val="en-US" w:bidi="ar-AE"/>
              </w:rPr>
              <w:t>持有的创业慧康科技股份有限公司</w:t>
            </w:r>
            <w:r>
              <w:rPr>
                <w:rFonts w:hint="eastAsia" w:ascii="宋体" w:hAnsi="宋体" w:cs="Times New Roman"/>
                <w:bCs/>
                <w:color w:val="auto"/>
                <w:kern w:val="0"/>
                <w:sz w:val="24"/>
                <w:lang w:val="en-GB" w:bidi="ar-AE"/>
              </w:rPr>
              <w:t>（</w:t>
            </w:r>
            <w:r>
              <w:rPr>
                <w:rFonts w:hint="eastAsia" w:ascii="宋体" w:hAnsi="宋体" w:cs="Times New Roman"/>
                <w:b/>
                <w:color w:val="auto"/>
                <w:kern w:val="0"/>
                <w:sz w:val="24"/>
                <w:lang w:val="en-GB" w:bidi="ar-AE"/>
              </w:rPr>
              <w:t>“创业慧康”</w:t>
            </w:r>
            <w:r>
              <w:rPr>
                <w:rFonts w:hint="eastAsia" w:ascii="宋体" w:hAnsi="宋体" w:cs="Times New Roman"/>
                <w:bCs/>
                <w:color w:val="auto"/>
                <w:kern w:val="0"/>
                <w:sz w:val="24"/>
                <w:lang w:val="en-GB" w:bidi="ar-AE"/>
              </w:rPr>
              <w:t>）</w:t>
            </w:r>
            <w:r>
              <w:rPr>
                <w:rFonts w:hint="default" w:ascii="Times New Roman" w:hAnsi="Times New Roman" w:cs="Times New Roman"/>
                <w:bCs/>
                <w:color w:val="auto"/>
                <w:kern w:val="0"/>
                <w:sz w:val="24"/>
                <w:lang w:val="en-GB" w:bidi="ar-AE"/>
              </w:rPr>
              <w:t>6.23</w:t>
            </w:r>
            <w:r>
              <w:rPr>
                <w:rFonts w:hint="default" w:ascii="Times New Roman" w:hAnsi="Times New Roman" w:cs="Times New Roman"/>
                <w:bCs/>
                <w:color w:val="auto"/>
                <w:kern w:val="0"/>
                <w:sz w:val="24"/>
                <w:lang w:val="en-US" w:bidi="ar-AE"/>
              </w:rPr>
              <w:t>%</w:t>
            </w:r>
            <w:r>
              <w:rPr>
                <w:rFonts w:hint="eastAsia" w:ascii="宋体" w:hAnsi="宋体" w:cs="Times New Roman"/>
                <w:bCs/>
                <w:color w:val="auto"/>
                <w:kern w:val="0"/>
                <w:sz w:val="24"/>
                <w:lang w:val="en-US" w:bidi="ar-AE"/>
              </w:rPr>
              <w:t>的股份</w:t>
            </w:r>
            <w:r>
              <w:rPr>
                <w:rFonts w:hint="eastAsia" w:ascii="宋体" w:hAnsi="宋体" w:cs="Times New Roman"/>
                <w:bCs/>
                <w:color w:val="auto"/>
                <w:kern w:val="0"/>
                <w:sz w:val="24"/>
                <w:lang w:val="en-GB" w:eastAsia="zh-CN" w:bidi="ar-AE"/>
              </w:rPr>
              <w:t>，</w:t>
            </w:r>
            <w:r>
              <w:rPr>
                <w:rFonts w:hint="eastAsia" w:ascii="宋体" w:hAnsi="宋体" w:cs="Times New Roman"/>
                <w:bCs/>
                <w:color w:val="auto"/>
                <w:kern w:val="0"/>
                <w:sz w:val="24"/>
                <w:lang w:val="en-US" w:bidi="ar-AE"/>
              </w:rPr>
              <w:t>并</w:t>
            </w:r>
            <w:r>
              <w:rPr>
                <w:rFonts w:hint="eastAsia" w:ascii="宋体" w:hAnsi="宋体" w:cs="Times New Roman"/>
                <w:bCs/>
                <w:color w:val="auto"/>
                <w:kern w:val="0"/>
                <w:sz w:val="24"/>
                <w:lang w:val="en-US" w:eastAsia="zh-CN" w:bidi="ar-AE"/>
              </w:rPr>
              <w:t>取得</w:t>
            </w:r>
            <w:r>
              <w:rPr>
                <w:rFonts w:hint="eastAsia" w:ascii="宋体" w:hAnsi="宋体" w:cs="Times New Roman"/>
                <w:bCs/>
                <w:color w:val="auto"/>
                <w:kern w:val="0"/>
                <w:sz w:val="24"/>
                <w:lang w:val="en-US" w:bidi="ar-AE"/>
              </w:rPr>
              <w:t>创业慧康</w:t>
            </w:r>
            <w:r>
              <w:rPr>
                <w:rFonts w:hint="eastAsia" w:ascii="宋体" w:hAnsi="宋体" w:cs="Times New Roman"/>
                <w:bCs/>
                <w:color w:val="auto"/>
                <w:kern w:val="0"/>
                <w:sz w:val="24"/>
                <w:lang w:val="en-US" w:eastAsia="zh-CN" w:bidi="ar-AE"/>
              </w:rPr>
              <w:t>共计</w:t>
            </w:r>
            <w:r>
              <w:rPr>
                <w:rFonts w:ascii="Times New Roman" w:hAnsi="Times New Roman" w:cs="Times New Roman"/>
                <w:color w:val="auto"/>
                <w:kern w:val="0"/>
                <w:sz w:val="24"/>
                <w:lang w:val="en-GB" w:bidi="ar-AE"/>
              </w:rPr>
              <w:t>12.64%</w:t>
            </w:r>
            <w:r>
              <w:rPr>
                <w:rFonts w:hint="eastAsia" w:ascii="Times New Roman" w:hAnsi="Times New Roman" w:cs="Times New Roman"/>
                <w:color w:val="auto"/>
                <w:kern w:val="0"/>
                <w:sz w:val="24"/>
                <w:lang w:val="en-GB" w:eastAsia="zh-CN" w:bidi="ar-AE"/>
              </w:rPr>
              <w:t>股份对应</w:t>
            </w:r>
            <w:r>
              <w:rPr>
                <w:rFonts w:hint="eastAsia" w:ascii="Times New Roman" w:hAnsi="Times New Roman" w:cs="Times New Roman"/>
                <w:color w:val="auto"/>
                <w:kern w:val="0"/>
                <w:sz w:val="24"/>
                <w:lang w:val="en-GB" w:bidi="ar-AE"/>
              </w:rPr>
              <w:t>的表决权</w:t>
            </w:r>
            <w:r>
              <w:rPr>
                <w:rFonts w:hint="eastAsia" w:ascii="宋体" w:hAnsi="宋体" w:cs="Times New Roman"/>
                <w:bCs/>
                <w:color w:val="auto"/>
                <w:kern w:val="0"/>
                <w:sz w:val="24"/>
                <w:lang w:val="en-GB" w:bidi="ar-AE"/>
              </w:rPr>
              <w:t>。创业慧康主要从事医疗信息化应用软件服务业务。</w:t>
            </w:r>
            <w:r>
              <w:rPr>
                <w:rFonts w:hint="eastAsia" w:ascii="宋体" w:hAnsi="宋体" w:cs="宋体"/>
                <w:color w:val="auto"/>
                <w:kern w:val="0"/>
                <w:sz w:val="24"/>
                <w:lang w:val="en-GB" w:bidi="ar-AE"/>
              </w:rPr>
              <w:t>交易前</w:t>
            </w:r>
            <w:r>
              <w:rPr>
                <w:rFonts w:hint="eastAsia" w:ascii="宋体" w:hAnsi="宋体" w:cs="Times New Roman"/>
                <w:color w:val="auto"/>
                <w:kern w:val="0"/>
                <w:sz w:val="24"/>
                <w:lang w:val="en-GB" w:bidi="ar-AE"/>
              </w:rPr>
              <w:t>，创业慧康</w:t>
            </w:r>
            <w:r>
              <w:rPr>
                <w:rFonts w:hint="eastAsia" w:ascii="宋体" w:hAnsi="宋体" w:cs="Times New Roman"/>
                <w:color w:val="auto"/>
                <w:kern w:val="0"/>
                <w:sz w:val="24"/>
                <w:lang w:val="en-GB" w:eastAsia="zh-CN" w:bidi="ar-AE"/>
              </w:rPr>
              <w:t>股权结构分散，</w:t>
            </w:r>
            <w:r>
              <w:rPr>
                <w:rFonts w:hint="eastAsia" w:ascii="宋体" w:hAnsi="宋体" w:cs="Times New Roman"/>
                <w:color w:val="auto"/>
                <w:kern w:val="0"/>
                <w:sz w:val="24"/>
                <w:lang w:val="en-GB" w:bidi="ar-AE"/>
              </w:rPr>
              <w:t>无最终控制人。交易后</w:t>
            </w:r>
            <w:r>
              <w:rPr>
                <w:rFonts w:hint="eastAsia" w:ascii="宋体" w:hAnsi="宋体" w:cs="Times New Roman"/>
                <w:color w:val="auto"/>
                <w:kern w:val="0"/>
                <w:sz w:val="24"/>
                <w:lang w:val="en-GB" w:eastAsia="zh-CN" w:bidi="ar-AE"/>
              </w:rPr>
              <w:t>，</w:t>
            </w:r>
            <w:r>
              <w:rPr>
                <w:rFonts w:hint="eastAsia" w:ascii="宋体" w:hAnsi="宋体" w:cs="Times New Roman"/>
                <w:color w:val="auto"/>
                <w:kern w:val="0"/>
                <w:sz w:val="24"/>
                <w:lang w:val="en-GB" w:bidi="ar-AE"/>
              </w:rPr>
              <w:t>深圳更好间接持有创业慧康</w:t>
            </w:r>
            <w:r>
              <w:rPr>
                <w:rFonts w:ascii="Times New Roman" w:hAnsi="Times New Roman" w:cs="Times New Roman"/>
                <w:color w:val="auto"/>
                <w:kern w:val="0"/>
                <w:sz w:val="24"/>
                <w:lang w:val="en-GB" w:bidi="ar-AE"/>
              </w:rPr>
              <w:t>6.23%</w:t>
            </w:r>
            <w:r>
              <w:rPr>
                <w:rFonts w:hint="eastAsia" w:ascii="宋体" w:hAnsi="宋体" w:cs="Times New Roman"/>
                <w:color w:val="auto"/>
                <w:kern w:val="0"/>
                <w:sz w:val="24"/>
                <w:lang w:val="en-GB" w:bidi="ar-AE"/>
              </w:rPr>
              <w:t>的股份及共计</w:t>
            </w:r>
            <w:r>
              <w:rPr>
                <w:rFonts w:hint="default" w:ascii="Times New Roman" w:hAnsi="Times New Roman" w:cs="Times New Roman"/>
                <w:color w:val="auto"/>
                <w:kern w:val="0"/>
                <w:sz w:val="24"/>
                <w:lang w:val="en-US" w:eastAsia="zh-CN" w:bidi="ar-AE"/>
              </w:rPr>
              <w:t>12.64</w:t>
            </w:r>
            <w:r>
              <w:rPr>
                <w:rFonts w:hint="default" w:ascii="Times New Roman" w:hAnsi="Times New Roman" w:cs="Times New Roman"/>
                <w:color w:val="auto"/>
                <w:kern w:val="0"/>
                <w:sz w:val="24"/>
                <w:lang w:val="en-GB" w:bidi="ar-AE"/>
              </w:rPr>
              <w:t>%的</w:t>
            </w:r>
            <w:r>
              <w:rPr>
                <w:rFonts w:hint="eastAsia" w:ascii="宋体" w:hAnsi="宋体" w:cs="Times New Roman"/>
                <w:color w:val="auto"/>
                <w:kern w:val="0"/>
                <w:sz w:val="24"/>
                <w:lang w:val="en-GB" w:bidi="ar-AE"/>
              </w:rPr>
              <w:t>表决权，</w:t>
            </w:r>
            <w:r>
              <w:rPr>
                <w:rFonts w:hint="eastAsia" w:ascii="宋体" w:hAnsi="宋体" w:cs="Times New Roman"/>
                <w:color w:val="auto"/>
                <w:kern w:val="0"/>
                <w:sz w:val="24"/>
                <w:lang w:val="en-GB" w:eastAsia="zh-CN" w:bidi="ar-AE"/>
              </w:rPr>
              <w:t>并依据相关协议安排</w:t>
            </w:r>
            <w:r>
              <w:rPr>
                <w:rFonts w:hint="eastAsia" w:ascii="宋体" w:hAnsi="宋体" w:cs="Times New Roman"/>
                <w:color w:val="auto"/>
                <w:kern w:val="0"/>
                <w:sz w:val="24"/>
                <w:lang w:val="en-GB" w:bidi="ar-AE"/>
              </w:rPr>
              <w:t>单独控制创业慧康。</w:t>
            </w:r>
          </w:p>
        </w:tc>
      </w:tr>
      <w:tr w14:paraId="765BA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noWrap w:val="0"/>
            <w:vAlign w:val="center"/>
          </w:tcPr>
          <w:p w14:paraId="06378C81">
            <w:pPr>
              <w:adjustRightInd w:val="0"/>
              <w:snapToGrid w:val="0"/>
              <w:spacing w:after="0"/>
              <w:jc w:val="both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  <w:lang w:val="en-US" w:eastAsia="zh-CN" w:bidi="ar-AE"/>
              </w:rPr>
            </w:pPr>
            <w: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  <w:lang w:val="en-GB" w:eastAsia="zh-CN" w:bidi="ar-AE"/>
              </w:rPr>
              <w:t>参与集中的经营者简介（每个限</w:t>
            </w:r>
            <w: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  <w:lang w:val="en-US" w:eastAsia="zh-CN" w:bidi="ar-AE"/>
              </w:rPr>
              <w:t>100字以内</w:t>
            </w:r>
            <w: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  <w:lang w:val="en-GB" w:eastAsia="zh-CN" w:bidi="ar-AE"/>
              </w:rPr>
              <w:t>）</w:t>
            </w:r>
          </w:p>
        </w:tc>
        <w:tc>
          <w:tcPr>
            <w:tcW w:w="1607" w:type="dxa"/>
            <w:noWrap w:val="0"/>
            <w:vAlign w:val="center"/>
          </w:tcPr>
          <w:p w14:paraId="5306741C">
            <w:pPr>
              <w:adjustRightInd w:val="0"/>
              <w:snapToGrid w:val="0"/>
              <w:spacing w:after="0"/>
              <w:jc w:val="both"/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 w:bidi="ar-AE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 w:bidi="ar-AE"/>
              </w:rPr>
              <w:t>1.深圳更好</w:t>
            </w:r>
          </w:p>
        </w:tc>
        <w:tc>
          <w:tcPr>
            <w:tcW w:w="6093" w:type="dxa"/>
            <w:noWrap w:val="0"/>
            <w:vAlign w:val="center"/>
          </w:tcPr>
          <w:p w14:paraId="670D5834">
            <w:pPr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kern w:val="0"/>
                <w:sz w:val="24"/>
                <w:lang w:val="en-US" w:bidi="ar-AE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lang w:val="en-US" w:bidi="ar-AE"/>
              </w:rPr>
              <w:t>深圳更好于2024年9月24日成立于</w:t>
            </w:r>
            <w:r>
              <w:rPr>
                <w:rFonts w:hint="default" w:ascii="Times New Roman" w:hAnsi="Times New Roman" w:cs="Times New Roman"/>
                <w:kern w:val="0"/>
                <w:sz w:val="24"/>
                <w:lang w:val="en-GB" w:bidi="ar-AE"/>
              </w:rPr>
              <w:t>广东省深圳市</w:t>
            </w:r>
            <w:r>
              <w:rPr>
                <w:rFonts w:hint="default" w:ascii="Times New Roman" w:hAnsi="Times New Roman" w:cs="Times New Roman"/>
                <w:kern w:val="0"/>
                <w:sz w:val="24"/>
                <w:lang w:val="en-US" w:bidi="ar-AE"/>
              </w:rPr>
              <w:t>，主要业务为投资业务。</w:t>
            </w:r>
          </w:p>
          <w:p w14:paraId="2BDEE6D7">
            <w:pPr>
              <w:adjustRightInd w:val="0"/>
              <w:snapToGrid w:val="0"/>
              <w:spacing w:after="0"/>
              <w:jc w:val="both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 w:bidi="ar-A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 w:bidi="ar-AE"/>
              </w:rPr>
              <w:t>深圳更好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GB" w:eastAsia="zh-CN" w:bidi="ar-AE"/>
              </w:rPr>
              <w:t>最终控制人为华检医疗控股有限公司，主要业务为分销体外诊断产品（IVD）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 w:bidi="ar-AE"/>
              </w:rPr>
              <w:t>。</w:t>
            </w:r>
          </w:p>
        </w:tc>
      </w:tr>
      <w:tr w14:paraId="4871C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 w14:paraId="0ADE27D9">
            <w:pPr>
              <w:adjustRightInd w:val="0"/>
              <w:snapToGrid w:val="0"/>
              <w:spacing w:after="0"/>
              <w:jc w:val="both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  <w:lang w:val="en-US" w:eastAsia="zh-CN" w:bidi="ar-AE"/>
              </w:rPr>
            </w:pPr>
          </w:p>
        </w:tc>
        <w:tc>
          <w:tcPr>
            <w:tcW w:w="1607" w:type="dxa"/>
            <w:noWrap w:val="0"/>
            <w:vAlign w:val="center"/>
          </w:tcPr>
          <w:p w14:paraId="213D2FE7">
            <w:pPr>
              <w:adjustRightInd w:val="0"/>
              <w:snapToGrid w:val="0"/>
              <w:spacing w:after="0"/>
              <w:jc w:val="both"/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 w:bidi="ar-AE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 w:bidi="ar-AE"/>
              </w:rPr>
              <w:t>2.创业慧康</w:t>
            </w:r>
          </w:p>
        </w:tc>
        <w:tc>
          <w:tcPr>
            <w:tcW w:w="6093" w:type="dxa"/>
            <w:noWrap w:val="0"/>
            <w:vAlign w:val="center"/>
          </w:tcPr>
          <w:p w14:paraId="4B920D85">
            <w:pPr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kern w:val="0"/>
                <w:sz w:val="24"/>
                <w:lang w:val="en-US" w:bidi="ar-AE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lang w:val="en-US" w:bidi="ar-AE"/>
              </w:rPr>
              <w:t>创业慧康于1997年12月10日成立于浙江省杭州市，为深圳证券交易所创业板上市公司，主要业务为医疗信息化软件服务业务。</w:t>
            </w:r>
          </w:p>
          <w:p w14:paraId="58C99240">
            <w:pPr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lang w:val="en-GB" w:bidi="ar-AE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lang w:val="en-GB" w:bidi="ar-AE"/>
              </w:rPr>
              <w:t>创业慧康无最终控制人</w:t>
            </w:r>
            <w:r>
              <w:rPr>
                <w:rFonts w:hint="default" w:ascii="Times New Roman" w:hAnsi="Times New Roman" w:cs="Times New Roman"/>
                <w:kern w:val="0"/>
                <w:sz w:val="24"/>
                <w:lang w:val="en-US" w:bidi="ar-AE"/>
              </w:rPr>
              <w:t>。</w:t>
            </w:r>
          </w:p>
        </w:tc>
      </w:tr>
      <w:tr w14:paraId="0D9A5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noWrap w:val="0"/>
            <w:vAlign w:val="center"/>
          </w:tcPr>
          <w:p w14:paraId="4DE42046">
            <w:pPr>
              <w:adjustRightInd w:val="0"/>
              <w:snapToGrid w:val="0"/>
              <w:spacing w:after="0"/>
              <w:jc w:val="both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  <w:lang w:val="en-US" w:eastAsia="zh-CN" w:bidi="ar-AE"/>
              </w:rPr>
            </w:pPr>
            <w: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  <w:lang w:val="en-GB" w:eastAsia="zh-CN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 w14:paraId="61165E10">
            <w:pPr>
              <w:adjustRightInd w:val="0"/>
              <w:snapToGrid w:val="0"/>
              <w:spacing w:after="0"/>
              <w:jc w:val="both"/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 w:bidi="ar-AE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GB" w:eastAsia="zh-CN" w:bidi="ar-AE"/>
              </w:rPr>
              <w:sym w:font="Wingdings" w:char="00A8"/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GB" w:eastAsia="zh-CN" w:bidi="ar-AE"/>
              </w:rPr>
              <w:t xml:space="preserve"> 1、在同一相关市场，所有参与集中的经营者所占市场份额之和小于15%。</w:t>
            </w:r>
          </w:p>
        </w:tc>
      </w:tr>
      <w:tr w14:paraId="510F8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 w14:paraId="41658FAE">
            <w:pPr>
              <w:adjustRightInd w:val="0"/>
              <w:snapToGrid w:val="0"/>
              <w:spacing w:after="0"/>
              <w:jc w:val="both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  <w:lang w:val="en-US" w:eastAsia="zh-CN" w:bidi="ar-AE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 w14:paraId="2427861E">
            <w:pPr>
              <w:adjustRightInd w:val="0"/>
              <w:snapToGrid w:val="0"/>
              <w:spacing w:after="0"/>
              <w:jc w:val="both"/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 w:bidi="ar-AE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GB" w:eastAsia="zh-CN" w:bidi="ar-AE"/>
              </w:rPr>
              <w:sym w:font="Wingdings" w:char="00A8"/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GB" w:eastAsia="zh-CN" w:bidi="ar-AE"/>
              </w:rPr>
              <w:t xml:space="preserve"> 2、存在上下游关系的参与集中的经营者，在上下游市场所占的市场份额均小于25%。</w:t>
            </w:r>
          </w:p>
        </w:tc>
      </w:tr>
      <w:tr w14:paraId="3486F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 w14:paraId="5C885B8D">
            <w:pPr>
              <w:adjustRightInd w:val="0"/>
              <w:snapToGrid w:val="0"/>
              <w:spacing w:after="0"/>
              <w:jc w:val="both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  <w:lang w:val="en-US" w:eastAsia="zh-CN" w:bidi="ar-AE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 w14:paraId="7F1CF7F7">
            <w:pPr>
              <w:adjustRightInd w:val="0"/>
              <w:snapToGrid w:val="0"/>
              <w:spacing w:after="0"/>
              <w:jc w:val="both"/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 w:bidi="ar-AE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GB" w:eastAsia="zh-CN" w:bidi="ar-AE"/>
              </w:rPr>
              <w:sym w:font="Wingdings" w:char="00FE"/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GB" w:eastAsia="zh-CN" w:bidi="ar-AE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14:paraId="60B4E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 w14:paraId="2DC47527">
            <w:pPr>
              <w:adjustRightInd w:val="0"/>
              <w:snapToGrid w:val="0"/>
              <w:spacing w:after="0"/>
              <w:jc w:val="both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  <w:lang w:val="en-US" w:eastAsia="zh-CN" w:bidi="ar-AE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 w14:paraId="60BA1BD6">
            <w:pPr>
              <w:adjustRightInd w:val="0"/>
              <w:snapToGrid w:val="0"/>
              <w:spacing w:after="0"/>
              <w:jc w:val="both"/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 w:bidi="ar-AE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GB" w:eastAsia="zh-CN" w:bidi="ar-AE"/>
              </w:rPr>
              <w:sym w:font="Wingdings" w:char="00A8"/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GB" w:eastAsia="zh-CN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 w14:paraId="456EC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 w14:paraId="64C63E73">
            <w:pPr>
              <w:adjustRightInd w:val="0"/>
              <w:snapToGrid w:val="0"/>
              <w:spacing w:after="0"/>
              <w:jc w:val="both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  <w:lang w:val="en-US" w:eastAsia="zh-CN" w:bidi="ar-AE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 w14:paraId="3F6B8856">
            <w:pPr>
              <w:adjustRightInd w:val="0"/>
              <w:snapToGrid w:val="0"/>
              <w:spacing w:after="0"/>
              <w:jc w:val="both"/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 w:bidi="ar-AE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GB" w:eastAsia="zh-CN" w:bidi="ar-AE"/>
              </w:rPr>
              <w:sym w:font="Wingdings" w:char="00A8"/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GB" w:eastAsia="zh-CN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 w14:paraId="3532A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 w14:paraId="74695FEC">
            <w:pPr>
              <w:adjustRightInd w:val="0"/>
              <w:snapToGrid w:val="0"/>
              <w:spacing w:after="0"/>
              <w:jc w:val="both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  <w:lang w:val="en-US" w:eastAsia="zh-CN" w:bidi="ar-AE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 w14:paraId="30454B1A">
            <w:pPr>
              <w:adjustRightInd w:val="0"/>
              <w:snapToGrid w:val="0"/>
              <w:spacing w:after="0"/>
              <w:jc w:val="both"/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 w:bidi="ar-AE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GB" w:eastAsia="zh-CN" w:bidi="ar-AE"/>
              </w:rPr>
              <w:sym w:font="Wingdings" w:char="00A8"/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GB" w:eastAsia="zh-CN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 w14:paraId="0740C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 w14:paraId="0906722F">
            <w:pPr>
              <w:adjustRightInd w:val="0"/>
              <w:snapToGrid w:val="0"/>
              <w:spacing w:after="0"/>
              <w:jc w:val="both"/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  <w:lang w:val="en-US" w:eastAsia="zh-CN" w:bidi="ar-AE"/>
              </w:rPr>
            </w:pPr>
            <w: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  <w:lang w:val="en-US" w:eastAsia="zh-CN" w:bidi="ar-AE"/>
              </w:rPr>
              <w:t>备注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 w14:paraId="5AB15F76">
            <w:pPr>
              <w:adjustRightInd w:val="0"/>
              <w:snapToGrid w:val="0"/>
              <w:spacing w:after="0"/>
              <w:jc w:val="both"/>
              <w:rPr>
                <w:rFonts w:hint="default" w:ascii="Times New Roman" w:hAnsi="Times New Roman" w:eastAsia="宋体" w:cs="Times New Roman"/>
                <w:b/>
                <w:color w:val="000000"/>
                <w:sz w:val="24"/>
                <w:szCs w:val="24"/>
                <w:lang w:val="en-GB" w:eastAsia="zh-CN" w:bidi="ar-AE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4"/>
                <w:szCs w:val="24"/>
                <w:lang w:val="en-US" w:eastAsia="zh-CN" w:bidi="ar-AE"/>
              </w:rPr>
              <w:t>混合</w:t>
            </w:r>
            <w:r>
              <w:rPr>
                <w:rFonts w:hint="default" w:ascii="Times New Roman" w:hAnsi="Times New Roman" w:eastAsia="宋体" w:cs="Times New Roman"/>
                <w:b/>
                <w:color w:val="000000"/>
                <w:sz w:val="24"/>
                <w:szCs w:val="24"/>
                <w:lang w:val="en-GB" w:eastAsia="zh-CN" w:bidi="ar-AE"/>
              </w:rPr>
              <w:t>集中：</w:t>
            </w:r>
          </w:p>
          <w:tbl>
            <w:tblPr>
              <w:tblStyle w:val="2"/>
              <w:tblW w:w="744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480"/>
              <w:gridCol w:w="1701"/>
              <w:gridCol w:w="2268"/>
            </w:tblGrid>
            <w:tr w14:paraId="113EA5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80" w:type="dxa"/>
                  <w:noWrap w:val="0"/>
                  <w:vAlign w:val="top"/>
                </w:tcPr>
                <w:p w14:paraId="5580474D">
                  <w:pPr>
                    <w:widowControl/>
                    <w:adjustRightInd w:val="0"/>
                    <w:snapToGrid w:val="0"/>
                    <w:spacing w:after="0"/>
                    <w:jc w:val="center"/>
                    <w:rPr>
                      <w:rFonts w:hint="default" w:ascii="Times New Roman" w:hAnsi="Times New Roman" w:cs="Times New Roman"/>
                      <w:bCs/>
                      <w:color w:val="000000"/>
                      <w:kern w:val="0"/>
                      <w:sz w:val="24"/>
                      <w:lang w:val="en-US" w:bidi="ar-AE"/>
                    </w:rPr>
                  </w:pP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kern w:val="0"/>
                      <w:sz w:val="24"/>
                      <w:lang w:val="en-US" w:bidi="ar-AE"/>
                    </w:rPr>
                    <w:t>相关商品市场</w:t>
                  </w:r>
                </w:p>
              </w:tc>
              <w:tc>
                <w:tcPr>
                  <w:tcW w:w="1701" w:type="dxa"/>
                  <w:noWrap w:val="0"/>
                  <w:vAlign w:val="top"/>
                </w:tcPr>
                <w:p w14:paraId="28B9E77F">
                  <w:pPr>
                    <w:widowControl/>
                    <w:adjustRightInd w:val="0"/>
                    <w:snapToGrid w:val="0"/>
                    <w:spacing w:after="0"/>
                    <w:jc w:val="center"/>
                    <w:rPr>
                      <w:rFonts w:hint="default" w:ascii="Times New Roman" w:hAnsi="Times New Roman" w:cs="Times New Roman"/>
                      <w:bCs/>
                      <w:color w:val="000000"/>
                      <w:kern w:val="0"/>
                      <w:sz w:val="24"/>
                      <w:lang w:val="en-US" w:bidi="ar-AE"/>
                    </w:rPr>
                  </w:pP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kern w:val="0"/>
                      <w:sz w:val="24"/>
                      <w:lang w:val="en-US" w:bidi="ar-AE"/>
                    </w:rPr>
                    <w:t>相关地域市场</w:t>
                  </w:r>
                </w:p>
              </w:tc>
              <w:tc>
                <w:tcPr>
                  <w:tcW w:w="2268" w:type="dxa"/>
                  <w:noWrap w:val="0"/>
                  <w:vAlign w:val="top"/>
                </w:tcPr>
                <w:p w14:paraId="5DC52A0B">
                  <w:pPr>
                    <w:widowControl/>
                    <w:adjustRightInd w:val="0"/>
                    <w:snapToGrid w:val="0"/>
                    <w:spacing w:after="0"/>
                    <w:ind w:leftChars="-19" w:hanging="45" w:hangingChars="19"/>
                    <w:jc w:val="center"/>
                    <w:rPr>
                      <w:rFonts w:hint="default" w:ascii="Times New Roman" w:hAnsi="Times New Roman" w:cs="Times New Roman"/>
                      <w:bCs/>
                      <w:color w:val="000000"/>
                      <w:kern w:val="0"/>
                      <w:sz w:val="24"/>
                      <w:lang w:val="en-US" w:bidi="ar-AE"/>
                    </w:rPr>
                  </w:pP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kern w:val="0"/>
                      <w:sz w:val="24"/>
                      <w:lang w:val="en-US" w:bidi="ar-AE"/>
                    </w:rPr>
                    <w:t>2024年市场份额</w:t>
                  </w:r>
                </w:p>
              </w:tc>
            </w:tr>
            <w:tr w14:paraId="093AA3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80" w:type="dxa"/>
                  <w:noWrap w:val="0"/>
                  <w:vAlign w:val="top"/>
                </w:tcPr>
                <w:p w14:paraId="38CFD9FC">
                  <w:pPr>
                    <w:widowControl/>
                    <w:adjustRightInd w:val="0"/>
                    <w:snapToGrid w:val="0"/>
                    <w:spacing w:after="0"/>
                    <w:jc w:val="left"/>
                    <w:rPr>
                      <w:rFonts w:hint="default" w:ascii="Times New Roman" w:hAnsi="Times New Roman" w:cs="Times New Roman"/>
                      <w:bCs/>
                      <w:color w:val="000000"/>
                      <w:kern w:val="0"/>
                      <w:sz w:val="24"/>
                      <w:lang w:val="en-US" w:bidi="ar-AE"/>
                    </w:rPr>
                  </w:pPr>
                  <w:r>
                    <w:rPr>
                      <w:rFonts w:hint="default" w:ascii="Times New Roman" w:hAnsi="Times New Roman" w:cs="Times New Roman"/>
                      <w:kern w:val="0"/>
                      <w:sz w:val="24"/>
                      <w:lang w:val="en-GB" w:bidi="ar-AE"/>
                    </w:rPr>
                    <w:t>医院信息化应用软件服务市场</w:t>
                  </w:r>
                </w:p>
              </w:tc>
              <w:tc>
                <w:tcPr>
                  <w:tcW w:w="1701" w:type="dxa"/>
                  <w:noWrap w:val="0"/>
                  <w:vAlign w:val="top"/>
                </w:tcPr>
                <w:p w14:paraId="6042240E">
                  <w:pPr>
                    <w:widowControl/>
                    <w:adjustRightInd w:val="0"/>
                    <w:snapToGrid w:val="0"/>
                    <w:spacing w:after="0"/>
                    <w:rPr>
                      <w:rFonts w:hint="default" w:ascii="Times New Roman" w:hAnsi="Times New Roman" w:cs="Times New Roman"/>
                      <w:bCs/>
                      <w:color w:val="000000"/>
                      <w:kern w:val="0"/>
                      <w:sz w:val="24"/>
                      <w:lang w:val="en-US" w:bidi="ar-AE"/>
                    </w:rPr>
                  </w:pP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kern w:val="0"/>
                      <w:sz w:val="24"/>
                      <w:lang w:val="en-US" w:bidi="ar-AE"/>
                    </w:rPr>
                    <w:t>中国境内</w:t>
                  </w:r>
                </w:p>
              </w:tc>
              <w:tc>
                <w:tcPr>
                  <w:tcW w:w="2268" w:type="dxa"/>
                  <w:noWrap w:val="0"/>
                  <w:vAlign w:val="top"/>
                </w:tcPr>
                <w:p w14:paraId="0AF104E5">
                  <w:pPr>
                    <w:widowControl/>
                    <w:adjustRightInd w:val="0"/>
                    <w:snapToGrid w:val="0"/>
                    <w:spacing w:after="0"/>
                    <w:jc w:val="left"/>
                    <w:rPr>
                      <w:rFonts w:hint="default" w:ascii="Times New Roman" w:hAnsi="Times New Roman" w:cs="Times New Roman"/>
                      <w:bCs/>
                      <w:color w:val="000000"/>
                      <w:kern w:val="0"/>
                      <w:sz w:val="24"/>
                      <w:lang w:val="en-US" w:bidi="ar-AE"/>
                    </w:rPr>
                  </w:pP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kern w:val="0"/>
                      <w:sz w:val="24"/>
                      <w:lang w:val="en-US" w:bidi="ar-AE"/>
                    </w:rPr>
                    <w:t>创业慧康：[5-10]%</w:t>
                  </w:r>
                </w:p>
              </w:tc>
            </w:tr>
            <w:tr w14:paraId="25B994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80" w:type="dxa"/>
                  <w:noWrap w:val="0"/>
                  <w:vAlign w:val="top"/>
                </w:tcPr>
                <w:p w14:paraId="16F55F84">
                  <w:pPr>
                    <w:widowControl/>
                    <w:adjustRightInd w:val="0"/>
                    <w:snapToGrid w:val="0"/>
                    <w:spacing w:after="0"/>
                    <w:jc w:val="left"/>
                    <w:rPr>
                      <w:rFonts w:hint="default" w:ascii="Times New Roman" w:hAnsi="Times New Roman" w:cs="Times New Roman"/>
                      <w:bCs/>
                      <w:color w:val="000000"/>
                      <w:kern w:val="0"/>
                      <w:sz w:val="24"/>
                      <w:lang w:val="en-US" w:bidi="ar-AE"/>
                    </w:rPr>
                  </w:pPr>
                  <w:r>
                    <w:rPr>
                      <w:rFonts w:hint="default" w:ascii="Times New Roman" w:hAnsi="Times New Roman" w:cs="Times New Roman"/>
                      <w:kern w:val="0"/>
                      <w:sz w:val="24"/>
                      <w:lang w:val="en-GB" w:bidi="ar-AE"/>
                    </w:rPr>
                    <w:t>公共卫生信息化应用软件服务市场</w:t>
                  </w:r>
                </w:p>
              </w:tc>
              <w:tc>
                <w:tcPr>
                  <w:tcW w:w="1701" w:type="dxa"/>
                  <w:noWrap w:val="0"/>
                  <w:vAlign w:val="top"/>
                </w:tcPr>
                <w:p w14:paraId="27991AF1">
                  <w:pPr>
                    <w:widowControl/>
                    <w:adjustRightInd w:val="0"/>
                    <w:snapToGrid w:val="0"/>
                    <w:spacing w:after="0"/>
                    <w:rPr>
                      <w:rFonts w:hint="default" w:ascii="Times New Roman" w:hAnsi="Times New Roman" w:cs="Times New Roman"/>
                      <w:bCs/>
                      <w:color w:val="000000"/>
                      <w:kern w:val="0"/>
                      <w:sz w:val="24"/>
                      <w:lang w:val="en-US" w:bidi="ar-AE"/>
                    </w:rPr>
                  </w:pP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kern w:val="0"/>
                      <w:sz w:val="24"/>
                      <w:lang w:val="en-US" w:bidi="ar-AE"/>
                    </w:rPr>
                    <w:t>中国境内</w:t>
                  </w:r>
                </w:p>
              </w:tc>
              <w:tc>
                <w:tcPr>
                  <w:tcW w:w="2268" w:type="dxa"/>
                  <w:noWrap w:val="0"/>
                  <w:vAlign w:val="top"/>
                </w:tcPr>
                <w:p w14:paraId="5AB6C429">
                  <w:pPr>
                    <w:widowControl/>
                    <w:adjustRightInd w:val="0"/>
                    <w:snapToGrid w:val="0"/>
                    <w:spacing w:after="0"/>
                    <w:jc w:val="left"/>
                    <w:rPr>
                      <w:rFonts w:hint="default" w:ascii="Times New Roman" w:hAnsi="Times New Roman" w:cs="Times New Roman"/>
                      <w:bCs/>
                      <w:color w:val="000000"/>
                      <w:kern w:val="0"/>
                      <w:sz w:val="24"/>
                      <w:lang w:val="en-US" w:bidi="ar-AE"/>
                    </w:rPr>
                  </w:pP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kern w:val="0"/>
                      <w:sz w:val="24"/>
                      <w:lang w:val="en-US" w:bidi="ar-AE"/>
                    </w:rPr>
                    <w:t>创业慧康：[5-10]%</w:t>
                  </w:r>
                </w:p>
              </w:tc>
            </w:tr>
          </w:tbl>
          <w:p w14:paraId="2B8F2CEC">
            <w:pPr>
              <w:adjustRightInd w:val="0"/>
              <w:snapToGrid w:val="0"/>
              <w:spacing w:after="0"/>
              <w:jc w:val="both"/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GB" w:eastAsia="zh-CN" w:bidi="ar-AE"/>
              </w:rPr>
            </w:pPr>
          </w:p>
        </w:tc>
      </w:tr>
    </w:tbl>
    <w:p w14:paraId="3B2F2122">
      <w:pPr>
        <w:rPr>
          <w:rFonts w:hint="default" w:ascii="Times New Roman" w:hAnsi="Times New Roman" w:cs="Times New Roman" w:eastAsiaTheme="minorEastAsia"/>
        </w:rPr>
      </w:pPr>
    </w:p>
    <w:p w14:paraId="0663A18B"/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7328E9"/>
    <w:rsid w:val="677328E9"/>
    <w:rsid w:val="6BEB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省市场监督管理局</Company>
  <Pages>1</Pages>
  <Words>795</Words>
  <Characters>851</Characters>
  <Lines>0</Lines>
  <Paragraphs>0</Paragraphs>
  <TotalTime>0</TotalTime>
  <ScaleCrop>false</ScaleCrop>
  <LinksUpToDate>false</LinksUpToDate>
  <CharactersWithSpaces>857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2025-12-22T06:48:00Z</dcterms:created>
  <dc:creator>王雪娇</dc:creator>
  <cp:lastModifiedBy>汗青</cp:lastModifiedBy>
  <dcterms:modified xsi:type="dcterms:W3CDTF">2025-12-22T07:12:12Z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1A8BF68BFA4643FAA3104268D811C21A_13</vt:lpwstr>
  </property>
  <property fmtid="{D5CDD505-2E9C-101B-9397-08002B2CF9AE}" pid="4" name="KSOTemplateDocerSaveRecord">
    <vt:lpwstr>eyJoZGlkIjoiODNjM2VkZWUwYjdkZDYzZGY2NmZiZGNiZGIyMjFjYWIiLCJ1c2VySWQiOiIxMjE0ODEzMDc5In0=</vt:lpwstr>
  </property>
</Properties>
</file>