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FEE84B">
      <w:pPr>
        <w:widowControl/>
        <w:spacing w:after="240"/>
        <w:jc w:val="center"/>
        <w:rPr>
          <w:rFonts w:hint="default" w:ascii="Times New Roman" w:hAnsi="Times New Roman" w:eastAsia="方正小标宋简体" w:cs="Times New Roman"/>
          <w:bCs/>
          <w:kern w:val="0"/>
          <w:sz w:val="44"/>
          <w:szCs w:val="44"/>
          <w:lang w:val="en-GB" w:bidi="ar-AE"/>
        </w:rPr>
      </w:pPr>
      <w:r>
        <w:rPr>
          <w:rFonts w:hint="default" w:ascii="Times New Roman" w:hAnsi="Times New Roman" w:eastAsia="方正小标宋简体" w:cs="Times New Roman"/>
          <w:bCs/>
          <w:kern w:val="0"/>
          <w:sz w:val="44"/>
          <w:szCs w:val="44"/>
          <w:lang w:val="en-GB" w:bidi="ar-AE"/>
        </w:rPr>
        <w:t>经营者集中简易案件公示表</w:t>
      </w:r>
    </w:p>
    <w:tbl>
      <w:tblPr>
        <w:tblStyle w:val="11"/>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14:paraId="30137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67F36D64">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案件名称</w:t>
            </w:r>
          </w:p>
        </w:tc>
        <w:tc>
          <w:tcPr>
            <w:tcW w:w="7700" w:type="dxa"/>
            <w:gridSpan w:val="2"/>
            <w:vAlign w:val="center"/>
          </w:tcPr>
          <w:p w14:paraId="2D3961D7">
            <w:pPr>
              <w:keepNext w:val="0"/>
              <w:keepLines w:val="0"/>
              <w:suppressLineNumbers w:val="0"/>
              <w:adjustRightInd w:val="0"/>
              <w:snapToGrid w:val="0"/>
              <w:spacing w:before="0" w:beforeAutospacing="0" w:after="0" w:afterAutospacing="0"/>
              <w:ind w:left="0" w:right="0"/>
              <w:rPr>
                <w:rFonts w:hint="default"/>
              </w:rPr>
            </w:pPr>
            <w:r>
              <w:rPr>
                <w:rFonts w:hint="default" w:ascii="宋体" w:hAnsi="宋体" w:cs="宋体"/>
                <w:bCs/>
                <w:color w:val="000000"/>
                <w:kern w:val="0"/>
                <w:sz w:val="24"/>
                <w:lang w:bidi="ar-AE"/>
              </w:rPr>
              <w:t>中建三局集团有限公司与广州市水务投资集团有限公司新设合营企业案</w:t>
            </w:r>
          </w:p>
        </w:tc>
      </w:tr>
      <w:tr w14:paraId="5813F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1940" w:type="dxa"/>
            <w:shd w:val="clear" w:color="auto" w:fill="D9D9D9"/>
            <w:vAlign w:val="center"/>
          </w:tcPr>
          <w:p w14:paraId="6616B19F">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交易概况（限200字内）</w:t>
            </w:r>
          </w:p>
        </w:tc>
        <w:tc>
          <w:tcPr>
            <w:tcW w:w="7700" w:type="dxa"/>
            <w:gridSpan w:val="2"/>
            <w:vAlign w:val="center"/>
          </w:tcPr>
          <w:p w14:paraId="74C3F5BD">
            <w:pPr>
              <w:pStyle w:val="3"/>
              <w:keepNext w:val="0"/>
              <w:keepLines w:val="0"/>
              <w:suppressLineNumbers w:val="0"/>
              <w:spacing w:before="0" w:beforeAutospacing="0" w:after="0" w:afterAutospacing="0" w:line="360" w:lineRule="exact"/>
              <w:ind w:left="0" w:right="0"/>
              <w:rPr>
                <w:rFonts w:hint="default"/>
              </w:rPr>
            </w:pPr>
            <w:r>
              <w:rPr>
                <w:rFonts w:hint="default"/>
                <w:kern w:val="0"/>
                <w:sz w:val="24"/>
                <w:lang w:val="en-GB" w:bidi="ar-AE"/>
              </w:rPr>
              <w:t>中建三局集团有限公司（“中建三局”）与广州市水务投资集团有限公司（“广州水投”）签署协议，拟共同出资设立合营企业。合营企业主要从事房屋建筑工程施工总承包、市政公用工程施工总承包、城市公共供水服务、城镇污水处理服务。交易后，广州水投与中建三局将分别持有合营</w:t>
            </w:r>
            <w:r>
              <w:rPr>
                <w:rFonts w:hint="eastAsia"/>
                <w:kern w:val="0"/>
                <w:sz w:val="24"/>
                <w:lang w:val="en-GB" w:eastAsia="zh-CN" w:bidi="ar-AE"/>
              </w:rPr>
              <w:t>企业</w:t>
            </w:r>
            <w:bookmarkStart w:id="0" w:name="_GoBack"/>
            <w:bookmarkEnd w:id="0"/>
            <w:r>
              <w:rPr>
                <w:rFonts w:hint="default"/>
                <w:kern w:val="0"/>
                <w:sz w:val="24"/>
                <w:lang w:val="en-GB" w:bidi="ar-AE"/>
              </w:rPr>
              <w:t>51%和49%的股权，共同控制合营企业。</w:t>
            </w:r>
          </w:p>
        </w:tc>
      </w:tr>
      <w:tr w14:paraId="5A80D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trPr>
        <w:tc>
          <w:tcPr>
            <w:tcW w:w="1940" w:type="dxa"/>
            <w:vMerge w:val="restart"/>
            <w:shd w:val="clear" w:color="auto" w:fill="D9D9D9"/>
            <w:vAlign w:val="center"/>
          </w:tcPr>
          <w:p w14:paraId="649E2566">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default" w:cs="宋体"/>
                <w:bCs/>
                <w:color w:val="000000"/>
                <w:sz w:val="24"/>
              </w:rPr>
              <w:t>参与集中的经营者简介（每个限100字以内）</w:t>
            </w:r>
          </w:p>
        </w:tc>
        <w:tc>
          <w:tcPr>
            <w:tcW w:w="1607" w:type="dxa"/>
            <w:vAlign w:val="center"/>
          </w:tcPr>
          <w:p w14:paraId="32534F78">
            <w:pPr>
              <w:pStyle w:val="5"/>
              <w:keepNext w:val="0"/>
              <w:keepLines w:val="0"/>
              <w:suppressLineNumbers w:val="0"/>
              <w:adjustRightInd w:val="0"/>
              <w:snapToGrid w:val="0"/>
              <w:spacing w:before="0" w:beforeAutospacing="0" w:after="0" w:afterAutospacing="0"/>
              <w:ind w:left="0" w:right="0"/>
              <w:rPr>
                <w:rFonts w:hint="default" w:eastAsia="宋体" w:cs="宋体"/>
                <w:bCs/>
                <w:color w:val="000000"/>
                <w:sz w:val="24"/>
                <w:szCs w:val="24"/>
                <w:lang w:val="en-US" w:eastAsia="zh-CN"/>
              </w:rPr>
            </w:pPr>
            <w:r>
              <w:rPr>
                <w:rFonts w:hint="eastAsia" w:cs="宋体"/>
                <w:bCs/>
                <w:color w:val="000000"/>
                <w:sz w:val="24"/>
                <w:szCs w:val="24"/>
                <w:lang w:val="en-US" w:eastAsia="zh-CN"/>
              </w:rPr>
              <w:t>1.</w:t>
            </w:r>
            <w:r>
              <w:rPr>
                <w:rFonts w:hint="eastAsia"/>
                <w:sz w:val="24"/>
                <w:lang w:val="en-US" w:eastAsia="zh-CN"/>
              </w:rPr>
              <w:t>中建三局</w:t>
            </w:r>
          </w:p>
        </w:tc>
        <w:tc>
          <w:tcPr>
            <w:tcW w:w="6093" w:type="dxa"/>
            <w:vAlign w:val="center"/>
          </w:tcPr>
          <w:p w14:paraId="69B3ECE2">
            <w:pPr>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中建三局于2003年12月29日成立于湖北省武汉市，主要业务为房屋建筑工程、基础设施建设、房地产开发投资运营。</w:t>
            </w:r>
          </w:p>
          <w:p w14:paraId="282D451D">
            <w:pPr>
              <w:keepNext w:val="0"/>
              <w:keepLines w:val="0"/>
              <w:suppressLineNumbers w:val="0"/>
              <w:adjustRightInd w:val="0"/>
              <w:snapToGrid w:val="0"/>
              <w:spacing w:before="0" w:beforeAutospacing="0" w:after="0" w:afterAutospacing="0"/>
              <w:ind w:left="0" w:right="0"/>
              <w:rPr>
                <w:rFonts w:hint="default" w:eastAsia="宋体"/>
                <w:sz w:val="24"/>
                <w:szCs w:val="24"/>
                <w:lang w:val="en-US" w:eastAsia="zh-CN"/>
              </w:rPr>
            </w:pPr>
            <w:r>
              <w:rPr>
                <w:rFonts w:hint="eastAsia" w:ascii="宋体" w:hAnsi="宋体" w:cs="宋体"/>
                <w:bCs/>
                <w:color w:val="000000"/>
                <w:kern w:val="0"/>
                <w:sz w:val="24"/>
                <w:lang w:eastAsia="zh-CN" w:bidi="ar-AE"/>
              </w:rPr>
              <w:t>中建三局</w:t>
            </w:r>
            <w:r>
              <w:rPr>
                <w:rFonts w:hint="default" w:ascii="宋体" w:hAnsi="宋体" w:cs="宋体"/>
                <w:bCs/>
                <w:color w:val="000000"/>
                <w:kern w:val="0"/>
                <w:sz w:val="24"/>
                <w:lang w:bidi="ar-AE"/>
              </w:rPr>
              <w:t>最终控制人为中国建筑集团有限公司，主要业务为房屋建筑、基础设施、地产开发等业务</w:t>
            </w:r>
            <w:r>
              <w:rPr>
                <w:rFonts w:hint="eastAsia" w:ascii="宋体" w:hAnsi="宋体" w:cs="宋体"/>
                <w:bCs/>
                <w:color w:val="000000"/>
                <w:kern w:val="0"/>
                <w:sz w:val="24"/>
                <w:lang w:bidi="ar-AE"/>
              </w:rPr>
              <w:t>。</w:t>
            </w:r>
          </w:p>
        </w:tc>
      </w:tr>
      <w:tr w14:paraId="7BDD3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1" w:hRule="atLeast"/>
        </w:trPr>
        <w:tc>
          <w:tcPr>
            <w:tcW w:w="1940" w:type="dxa"/>
            <w:vMerge w:val="continue"/>
            <w:shd w:val="clear" w:color="auto" w:fill="D9D9D9"/>
            <w:vAlign w:val="center"/>
          </w:tcPr>
          <w:p w14:paraId="704601FC">
            <w:pPr>
              <w:pStyle w:val="5"/>
              <w:keepNext w:val="0"/>
              <w:keepLines w:val="0"/>
              <w:suppressLineNumbers w:val="0"/>
              <w:adjustRightInd w:val="0"/>
              <w:snapToGrid w:val="0"/>
              <w:spacing w:before="0" w:beforeAutospacing="0" w:after="0" w:afterAutospacing="0"/>
              <w:ind w:left="0" w:right="0"/>
              <w:rPr>
                <w:rFonts w:hint="default"/>
              </w:rPr>
            </w:pPr>
          </w:p>
        </w:tc>
        <w:tc>
          <w:tcPr>
            <w:tcW w:w="1607" w:type="dxa"/>
            <w:vAlign w:val="center"/>
          </w:tcPr>
          <w:p w14:paraId="08CBCBFF">
            <w:pPr>
              <w:pStyle w:val="5"/>
              <w:keepNext w:val="0"/>
              <w:keepLines w:val="0"/>
              <w:suppressLineNumbers w:val="0"/>
              <w:adjustRightInd w:val="0"/>
              <w:snapToGrid w:val="0"/>
              <w:spacing w:before="0" w:beforeAutospacing="0" w:after="0" w:afterAutospacing="0"/>
              <w:ind w:left="0" w:right="0"/>
              <w:rPr>
                <w:rFonts w:hint="default" w:eastAsia="宋体" w:cs="宋体"/>
                <w:bCs/>
                <w:color w:val="000000"/>
                <w:sz w:val="24"/>
                <w:szCs w:val="24"/>
                <w:lang w:val="en-US" w:eastAsia="zh-CN"/>
              </w:rPr>
            </w:pPr>
            <w:r>
              <w:rPr>
                <w:rFonts w:hint="eastAsia" w:cs="宋体"/>
                <w:bCs/>
                <w:color w:val="000000"/>
                <w:sz w:val="24"/>
                <w:szCs w:val="24"/>
                <w:lang w:val="en-US" w:eastAsia="zh-CN"/>
              </w:rPr>
              <w:t>2.</w:t>
            </w:r>
            <w:r>
              <w:rPr>
                <w:rFonts w:hint="eastAsia"/>
                <w:sz w:val="24"/>
                <w:lang w:val="en-US" w:eastAsia="zh-CN"/>
              </w:rPr>
              <w:t>广州水投</w:t>
            </w:r>
          </w:p>
        </w:tc>
        <w:tc>
          <w:tcPr>
            <w:tcW w:w="6093" w:type="dxa"/>
            <w:vAlign w:val="center"/>
          </w:tcPr>
          <w:p w14:paraId="6F77942F">
            <w:pPr>
              <w:pStyle w:val="5"/>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广州水投于2008年12月12日成立于广东省广州市，主要业务为供、排、净水及相关环保产业的建设运营。</w:t>
            </w:r>
          </w:p>
          <w:p w14:paraId="6E1AB929">
            <w:pPr>
              <w:pStyle w:val="5"/>
              <w:keepNext w:val="0"/>
              <w:keepLines w:val="0"/>
              <w:suppressLineNumbers w:val="0"/>
              <w:adjustRightInd w:val="0"/>
              <w:snapToGrid w:val="0"/>
              <w:spacing w:before="0" w:beforeAutospacing="0" w:after="0" w:afterAutospacing="0"/>
              <w:ind w:left="0" w:right="0"/>
              <w:rPr>
                <w:rFonts w:hint="eastAsia" w:cs="宋体"/>
                <w:bCs/>
                <w:color w:val="000000"/>
                <w:sz w:val="24"/>
                <w:szCs w:val="24"/>
              </w:rPr>
            </w:pPr>
            <w:r>
              <w:rPr>
                <w:rFonts w:hint="eastAsia" w:cs="宋体"/>
                <w:bCs/>
                <w:color w:val="000000"/>
                <w:sz w:val="24"/>
                <w:lang w:eastAsia="zh-CN"/>
              </w:rPr>
              <w:t>广州水投</w:t>
            </w:r>
            <w:r>
              <w:rPr>
                <w:rFonts w:hint="eastAsia" w:cs="宋体"/>
                <w:bCs/>
                <w:color w:val="000000"/>
                <w:sz w:val="24"/>
              </w:rPr>
              <w:t>最终控制人为广州市城市建设投资集团有限公司，主要业务为市政设施管理、房地产开发经营等。</w:t>
            </w:r>
          </w:p>
        </w:tc>
      </w:tr>
      <w:tr w14:paraId="3B2CE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37FF6C69">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简易案件理由（可以单选，也可以多选）</w:t>
            </w:r>
          </w:p>
        </w:tc>
        <w:tc>
          <w:tcPr>
            <w:tcW w:w="7700" w:type="dxa"/>
            <w:gridSpan w:val="2"/>
            <w:vAlign w:val="center"/>
          </w:tcPr>
          <w:p w14:paraId="2A65FCBC">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FE"/>
            </w:r>
            <w:r>
              <w:rPr>
                <w:rFonts w:hint="eastAsia" w:cs="宋体"/>
                <w:bCs/>
                <w:color w:val="000000"/>
                <w:sz w:val="24"/>
                <w:szCs w:val="24"/>
              </w:rPr>
              <w:t xml:space="preserve"> 1、在同一相关市场，所有参与集中的经营者所占市场份额之和小于15%。</w:t>
            </w:r>
          </w:p>
        </w:tc>
      </w:tr>
      <w:tr w14:paraId="5C704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529F0F42">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7354B385">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2、存在上下游关系的参与集中的经营者，在上下游市场所占的市场份额均小于25%。</w:t>
            </w:r>
          </w:p>
        </w:tc>
      </w:tr>
      <w:tr w14:paraId="0F57B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38737450">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72D8A9C5">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3、不在同一相关市场、也不存在上下游关系的参与集中的经营者，在与交易有关的每个市场所占的份额均小于25%。</w:t>
            </w:r>
          </w:p>
        </w:tc>
      </w:tr>
      <w:tr w14:paraId="0C994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14:paraId="425DB188">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272229DB">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4、参与集中的经营者在中国境外设立合营企业，合营企业不在中国境内从事经济活动。</w:t>
            </w:r>
          </w:p>
        </w:tc>
      </w:tr>
      <w:tr w14:paraId="41C20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60238F91">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5DA6C593">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5、参与集中的经营者收购境外企业股权或资产的，该境外企业不在中国境内从事经济活动。</w:t>
            </w:r>
          </w:p>
        </w:tc>
      </w:tr>
      <w:tr w14:paraId="64C8D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6B650BD0">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14:paraId="434E39AD">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6、由两个以上的经营者共同控制的合营企业，通过集中被其中一个或一个以上经营者控制。</w:t>
            </w:r>
          </w:p>
        </w:tc>
      </w:tr>
      <w:tr w14:paraId="2A301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vAlign w:val="center"/>
          </w:tcPr>
          <w:p w14:paraId="0014B2B8">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备注</w:t>
            </w:r>
          </w:p>
        </w:tc>
        <w:tc>
          <w:tcPr>
            <w:tcW w:w="7700" w:type="dxa"/>
            <w:gridSpan w:val="2"/>
            <w:vAlign w:val="center"/>
          </w:tcPr>
          <w:p w14:paraId="0A10D273">
            <w:pPr>
              <w:pStyle w:val="5"/>
              <w:keepNext w:val="0"/>
              <w:keepLines w:val="0"/>
              <w:suppressLineNumbers w:val="0"/>
              <w:adjustRightInd w:val="0"/>
              <w:snapToGrid w:val="0"/>
              <w:spacing w:before="0" w:beforeAutospacing="0" w:after="0" w:afterAutospacing="0"/>
              <w:ind w:left="0" w:right="0"/>
              <w:rPr>
                <w:rFonts w:hint="eastAsia" w:ascii="Times New Roman" w:hAnsi="Times New Roman" w:cs="Times New Roman"/>
                <w:b/>
                <w:color w:val="000000"/>
                <w:sz w:val="24"/>
                <w:lang w:val="en-US" w:eastAsia="zh-CN"/>
              </w:rPr>
            </w:pPr>
            <w:r>
              <w:rPr>
                <w:rFonts w:hint="eastAsia" w:ascii="Times New Roman" w:hAnsi="Times New Roman" w:cs="Times New Roman"/>
                <w:b/>
                <w:color w:val="000000"/>
                <w:sz w:val="24"/>
                <w:lang w:eastAsia="zh-CN"/>
              </w:rPr>
              <w:t>横向重叠：</w:t>
            </w:r>
          </w:p>
          <w:tbl>
            <w:tblPr>
              <w:tblStyle w:val="11"/>
              <w:tblW w:w="71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9"/>
              <w:gridCol w:w="1715"/>
              <w:gridCol w:w="3441"/>
            </w:tblGrid>
            <w:tr w14:paraId="1BBC4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2009" w:type="dxa"/>
                  <w:tcBorders>
                    <w:top w:val="single" w:color="auto" w:sz="4" w:space="0"/>
                    <w:left w:val="single" w:color="auto" w:sz="4" w:space="0"/>
                    <w:bottom w:val="single" w:color="auto" w:sz="4" w:space="0"/>
                    <w:right w:val="single" w:color="auto" w:sz="4" w:space="0"/>
                  </w:tcBorders>
                  <w:noWrap w:val="0"/>
                  <w:vAlign w:val="center"/>
                </w:tcPr>
                <w:p w14:paraId="14191336">
                  <w:pPr>
                    <w:pStyle w:val="5"/>
                    <w:keepNext w:val="0"/>
                    <w:keepLines w:val="0"/>
                    <w:suppressLineNumbers w:val="0"/>
                    <w:adjustRightInd w:val="0"/>
                    <w:snapToGrid w:val="0"/>
                    <w:spacing w:before="0" w:beforeAutospacing="0" w:after="0" w:afterAutospacing="0"/>
                    <w:ind w:left="0" w:right="0"/>
                    <w:jc w:val="center"/>
                    <w:rPr>
                      <w:rFonts w:hint="default" w:ascii="Times New Roman" w:hAnsi="Times New Roman" w:cs="Times New Roman" w:eastAsiaTheme="minorEastAsia"/>
                      <w:bCs/>
                      <w:sz w:val="24"/>
                      <w:szCs w:val="24"/>
                      <w:lang w:val="en-GB" w:bidi="ar-AE"/>
                    </w:rPr>
                  </w:pPr>
                  <w:r>
                    <w:rPr>
                      <w:rFonts w:hint="default" w:ascii="Times New Roman" w:hAnsi="Times New Roman" w:cs="Times New Roman" w:eastAsiaTheme="minorEastAsia"/>
                      <w:bCs/>
                      <w:sz w:val="24"/>
                      <w:szCs w:val="24"/>
                      <w:lang w:val="en-GB" w:bidi="ar-AE"/>
                    </w:rPr>
                    <w:t>相关商品市场</w:t>
                  </w:r>
                </w:p>
              </w:tc>
              <w:tc>
                <w:tcPr>
                  <w:tcW w:w="1715" w:type="dxa"/>
                  <w:tcBorders>
                    <w:top w:val="single" w:color="auto" w:sz="4" w:space="0"/>
                    <w:left w:val="single" w:color="auto" w:sz="4" w:space="0"/>
                    <w:bottom w:val="single" w:color="auto" w:sz="4" w:space="0"/>
                    <w:right w:val="single" w:color="auto" w:sz="4" w:space="0"/>
                  </w:tcBorders>
                  <w:noWrap w:val="0"/>
                  <w:vAlign w:val="center"/>
                </w:tcPr>
                <w:p w14:paraId="6D685131">
                  <w:pPr>
                    <w:pStyle w:val="5"/>
                    <w:keepNext w:val="0"/>
                    <w:keepLines w:val="0"/>
                    <w:suppressLineNumbers w:val="0"/>
                    <w:adjustRightInd w:val="0"/>
                    <w:snapToGrid w:val="0"/>
                    <w:spacing w:before="0" w:beforeAutospacing="0" w:after="0" w:afterAutospacing="0"/>
                    <w:ind w:left="0" w:right="0"/>
                    <w:jc w:val="center"/>
                    <w:rPr>
                      <w:rFonts w:hint="default" w:ascii="Times New Roman" w:hAnsi="Times New Roman" w:cs="Times New Roman" w:eastAsiaTheme="minorEastAsia"/>
                      <w:bCs/>
                      <w:sz w:val="24"/>
                      <w:szCs w:val="24"/>
                      <w:lang w:val="en-GB" w:bidi="ar-AE"/>
                    </w:rPr>
                  </w:pPr>
                  <w:r>
                    <w:rPr>
                      <w:rFonts w:hint="default" w:ascii="Times New Roman" w:hAnsi="Times New Roman" w:cs="Times New Roman" w:eastAsiaTheme="minorEastAsia"/>
                      <w:bCs/>
                      <w:sz w:val="24"/>
                      <w:szCs w:val="24"/>
                      <w:lang w:val="en-GB" w:bidi="ar-AE"/>
                    </w:rPr>
                    <w:t>相关地域市场</w:t>
                  </w:r>
                </w:p>
              </w:tc>
              <w:tc>
                <w:tcPr>
                  <w:tcW w:w="3441" w:type="dxa"/>
                  <w:tcBorders>
                    <w:top w:val="single" w:color="auto" w:sz="4" w:space="0"/>
                    <w:left w:val="single" w:color="auto" w:sz="4" w:space="0"/>
                    <w:bottom w:val="single" w:color="auto" w:sz="4" w:space="0"/>
                    <w:right w:val="single" w:color="auto" w:sz="4" w:space="0"/>
                  </w:tcBorders>
                  <w:noWrap w:val="0"/>
                  <w:vAlign w:val="center"/>
                </w:tcPr>
                <w:p w14:paraId="2895BD6D">
                  <w:pPr>
                    <w:pStyle w:val="5"/>
                    <w:keepNext w:val="0"/>
                    <w:keepLines w:val="0"/>
                    <w:suppressLineNumbers w:val="0"/>
                    <w:adjustRightInd w:val="0"/>
                    <w:snapToGrid w:val="0"/>
                    <w:spacing w:before="0" w:beforeAutospacing="0" w:after="0" w:afterAutospacing="0"/>
                    <w:ind w:left="0" w:right="0"/>
                    <w:jc w:val="center"/>
                    <w:rPr>
                      <w:rFonts w:hint="default" w:ascii="Times New Roman" w:hAnsi="Times New Roman" w:cs="Times New Roman" w:eastAsiaTheme="minorEastAsia"/>
                      <w:bCs/>
                      <w:sz w:val="24"/>
                      <w:szCs w:val="24"/>
                      <w:lang w:val="en-GB" w:bidi="ar-AE"/>
                    </w:rPr>
                  </w:pPr>
                  <w:r>
                    <w:rPr>
                      <w:rFonts w:hint="default" w:ascii="Times New Roman" w:hAnsi="Times New Roman" w:cs="Times New Roman" w:eastAsiaTheme="minorEastAsia"/>
                      <w:bCs/>
                      <w:sz w:val="24"/>
                      <w:szCs w:val="24"/>
                      <w:lang w:val="en-GB" w:bidi="ar-AE"/>
                    </w:rPr>
                    <w:t>2025年市场份额</w:t>
                  </w:r>
                </w:p>
              </w:tc>
            </w:tr>
            <w:tr w14:paraId="26BEA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9" w:type="dxa"/>
                  <w:tcBorders>
                    <w:top w:val="single" w:color="auto" w:sz="4" w:space="0"/>
                    <w:left w:val="single" w:color="auto" w:sz="4" w:space="0"/>
                    <w:bottom w:val="single" w:color="auto" w:sz="4" w:space="0"/>
                    <w:right w:val="single" w:color="auto" w:sz="4" w:space="0"/>
                  </w:tcBorders>
                  <w:noWrap w:val="0"/>
                  <w:vAlign w:val="center"/>
                </w:tcPr>
                <w:p w14:paraId="0B75155B">
                  <w:pPr>
                    <w:pStyle w:val="5"/>
                    <w:keepNext w:val="0"/>
                    <w:keepLines w:val="0"/>
                    <w:widowControl w:val="0"/>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sz w:val="24"/>
                      <w:szCs w:val="24"/>
                      <w:lang w:val="en-US" w:bidi="ar-SA"/>
                    </w:rPr>
                  </w:pPr>
                  <w:r>
                    <w:rPr>
                      <w:rFonts w:hint="default" w:ascii="Times New Roman" w:hAnsi="Times New Roman" w:eastAsia="宋体" w:cs="Times New Roman"/>
                      <w:bCs/>
                      <w:color w:val="000000"/>
                      <w:sz w:val="24"/>
                      <w:szCs w:val="24"/>
                      <w:lang w:val="en-US" w:bidi="ar-SA"/>
                    </w:rPr>
                    <w:t>房屋建筑工程施工总承包市场</w:t>
                  </w:r>
                </w:p>
              </w:tc>
              <w:tc>
                <w:tcPr>
                  <w:tcW w:w="1715" w:type="dxa"/>
                  <w:tcBorders>
                    <w:top w:val="single" w:color="auto" w:sz="4" w:space="0"/>
                    <w:left w:val="single" w:color="auto" w:sz="4" w:space="0"/>
                    <w:bottom w:val="single" w:color="auto" w:sz="4" w:space="0"/>
                    <w:right w:val="single" w:color="auto" w:sz="4" w:space="0"/>
                  </w:tcBorders>
                  <w:noWrap w:val="0"/>
                  <w:vAlign w:val="center"/>
                </w:tcPr>
                <w:p w14:paraId="6E8FA45C">
                  <w:pPr>
                    <w:pStyle w:val="5"/>
                    <w:keepNext w:val="0"/>
                    <w:keepLines w:val="0"/>
                    <w:widowControl w:val="0"/>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sz w:val="24"/>
                      <w:szCs w:val="24"/>
                      <w:lang w:val="en-US" w:bidi="ar-SA"/>
                    </w:rPr>
                  </w:pPr>
                  <w:r>
                    <w:rPr>
                      <w:rFonts w:hint="default" w:ascii="Times New Roman" w:hAnsi="Times New Roman" w:eastAsia="宋体" w:cs="Times New Roman"/>
                      <w:bCs/>
                      <w:color w:val="000000"/>
                      <w:sz w:val="24"/>
                      <w:szCs w:val="24"/>
                      <w:lang w:val="en-US" w:bidi="ar-SA"/>
                    </w:rPr>
                    <w:t>中国境内</w:t>
                  </w:r>
                </w:p>
              </w:tc>
              <w:tc>
                <w:tcPr>
                  <w:tcW w:w="3441" w:type="dxa"/>
                  <w:tcBorders>
                    <w:top w:val="single" w:color="auto" w:sz="4" w:space="0"/>
                    <w:left w:val="single" w:color="auto" w:sz="4" w:space="0"/>
                    <w:bottom w:val="single" w:color="auto" w:sz="4" w:space="0"/>
                    <w:right w:val="single" w:color="auto" w:sz="4" w:space="0"/>
                  </w:tcBorders>
                  <w:noWrap w:val="0"/>
                  <w:vAlign w:val="center"/>
                </w:tcPr>
                <w:p w14:paraId="5AD29D9D">
                  <w:pPr>
                    <w:pStyle w:val="5"/>
                    <w:keepNext w:val="0"/>
                    <w:keepLines w:val="0"/>
                    <w:widowControl w:val="0"/>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sz w:val="24"/>
                      <w:szCs w:val="24"/>
                    </w:rPr>
                  </w:pPr>
                  <w:r>
                    <w:rPr>
                      <w:rFonts w:hint="default" w:ascii="Times New Roman" w:hAnsi="Times New Roman" w:eastAsia="宋体" w:cs="Times New Roman"/>
                      <w:bCs/>
                      <w:color w:val="000000"/>
                      <w:sz w:val="24"/>
                      <w:szCs w:val="24"/>
                    </w:rPr>
                    <w:t>中建三局：5 ~ 10%</w:t>
                  </w:r>
                </w:p>
                <w:p w14:paraId="7D8F5A78">
                  <w:pPr>
                    <w:pStyle w:val="5"/>
                    <w:keepNext w:val="0"/>
                    <w:keepLines w:val="0"/>
                    <w:widowControl w:val="0"/>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sz w:val="24"/>
                      <w:szCs w:val="24"/>
                    </w:rPr>
                  </w:pPr>
                  <w:r>
                    <w:rPr>
                      <w:rFonts w:hint="default" w:ascii="Times New Roman" w:hAnsi="Times New Roman" w:eastAsia="宋体" w:cs="Times New Roman"/>
                      <w:bCs/>
                      <w:color w:val="000000"/>
                      <w:sz w:val="24"/>
                      <w:szCs w:val="24"/>
                    </w:rPr>
                    <w:t xml:space="preserve">广州水投：0 ~ 5% </w:t>
                  </w:r>
                </w:p>
                <w:p w14:paraId="002DE496">
                  <w:pPr>
                    <w:pStyle w:val="5"/>
                    <w:keepNext w:val="0"/>
                    <w:keepLines w:val="0"/>
                    <w:widowControl w:val="0"/>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sz w:val="24"/>
                      <w:szCs w:val="24"/>
                    </w:rPr>
                  </w:pPr>
                  <w:r>
                    <w:rPr>
                      <w:rFonts w:hint="default" w:ascii="Times New Roman" w:hAnsi="Times New Roman" w:eastAsia="宋体" w:cs="Times New Roman"/>
                      <w:bCs/>
                      <w:color w:val="000000"/>
                      <w:sz w:val="24"/>
                      <w:szCs w:val="24"/>
                    </w:rPr>
                    <w:t>各方合计：5 ~ 10%</w:t>
                  </w:r>
                </w:p>
              </w:tc>
            </w:tr>
            <w:tr w14:paraId="5C88E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9" w:type="dxa"/>
                  <w:tcBorders>
                    <w:top w:val="single" w:color="auto" w:sz="4" w:space="0"/>
                    <w:left w:val="single" w:color="auto" w:sz="4" w:space="0"/>
                    <w:bottom w:val="single" w:color="auto" w:sz="4" w:space="0"/>
                    <w:right w:val="single" w:color="auto" w:sz="4" w:space="0"/>
                  </w:tcBorders>
                  <w:noWrap w:val="0"/>
                  <w:vAlign w:val="center"/>
                </w:tcPr>
                <w:p w14:paraId="7704BE61">
                  <w:pPr>
                    <w:pStyle w:val="5"/>
                    <w:keepNext w:val="0"/>
                    <w:keepLines w:val="0"/>
                    <w:widowControl w:val="0"/>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sz w:val="24"/>
                      <w:szCs w:val="24"/>
                      <w:lang w:val="en-US" w:bidi="ar-SA"/>
                    </w:rPr>
                  </w:pPr>
                  <w:r>
                    <w:rPr>
                      <w:rFonts w:hint="default" w:ascii="Times New Roman" w:hAnsi="Times New Roman" w:eastAsia="宋体" w:cs="Times New Roman"/>
                      <w:bCs/>
                      <w:color w:val="000000"/>
                      <w:sz w:val="24"/>
                      <w:szCs w:val="24"/>
                      <w:lang w:val="en-US" w:bidi="ar-SA"/>
                    </w:rPr>
                    <w:t>市政公用工程施工总承包市场</w:t>
                  </w:r>
                </w:p>
              </w:tc>
              <w:tc>
                <w:tcPr>
                  <w:tcW w:w="1715" w:type="dxa"/>
                  <w:tcBorders>
                    <w:top w:val="single" w:color="auto" w:sz="4" w:space="0"/>
                    <w:left w:val="single" w:color="auto" w:sz="4" w:space="0"/>
                    <w:bottom w:val="single" w:color="auto" w:sz="4" w:space="0"/>
                    <w:right w:val="single" w:color="auto" w:sz="4" w:space="0"/>
                  </w:tcBorders>
                  <w:noWrap w:val="0"/>
                  <w:vAlign w:val="center"/>
                </w:tcPr>
                <w:p w14:paraId="0CBBC423">
                  <w:pPr>
                    <w:pStyle w:val="5"/>
                    <w:keepNext w:val="0"/>
                    <w:keepLines w:val="0"/>
                    <w:widowControl w:val="0"/>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sz w:val="24"/>
                      <w:szCs w:val="24"/>
                      <w:lang w:val="en-US" w:bidi="ar-SA"/>
                    </w:rPr>
                  </w:pPr>
                  <w:r>
                    <w:rPr>
                      <w:rFonts w:hint="default" w:ascii="Times New Roman" w:hAnsi="Times New Roman" w:eastAsia="宋体" w:cs="Times New Roman"/>
                      <w:bCs/>
                      <w:color w:val="000000"/>
                      <w:sz w:val="24"/>
                      <w:szCs w:val="24"/>
                      <w:lang w:val="en-US" w:bidi="ar-SA"/>
                    </w:rPr>
                    <w:t>中国境内</w:t>
                  </w:r>
                </w:p>
              </w:tc>
              <w:tc>
                <w:tcPr>
                  <w:tcW w:w="3441" w:type="dxa"/>
                  <w:tcBorders>
                    <w:top w:val="single" w:color="auto" w:sz="4" w:space="0"/>
                    <w:left w:val="single" w:color="auto" w:sz="4" w:space="0"/>
                    <w:bottom w:val="single" w:color="auto" w:sz="4" w:space="0"/>
                    <w:right w:val="single" w:color="auto" w:sz="4" w:space="0"/>
                  </w:tcBorders>
                  <w:noWrap w:val="0"/>
                  <w:vAlign w:val="center"/>
                </w:tcPr>
                <w:p w14:paraId="7781E32C">
                  <w:pPr>
                    <w:pStyle w:val="5"/>
                    <w:keepNext w:val="0"/>
                    <w:keepLines w:val="0"/>
                    <w:widowControl w:val="0"/>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sz w:val="24"/>
                      <w:szCs w:val="24"/>
                    </w:rPr>
                  </w:pPr>
                  <w:r>
                    <w:rPr>
                      <w:rFonts w:hint="default" w:ascii="Times New Roman" w:hAnsi="Times New Roman" w:eastAsia="宋体" w:cs="Times New Roman"/>
                      <w:bCs/>
                      <w:color w:val="000000"/>
                      <w:sz w:val="24"/>
                      <w:szCs w:val="24"/>
                    </w:rPr>
                    <w:t>中建三局：0 ~ 5%</w:t>
                  </w:r>
                </w:p>
                <w:p w14:paraId="57FDBAC0">
                  <w:pPr>
                    <w:pStyle w:val="5"/>
                    <w:keepNext w:val="0"/>
                    <w:keepLines w:val="0"/>
                    <w:widowControl w:val="0"/>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sz w:val="24"/>
                      <w:szCs w:val="24"/>
                    </w:rPr>
                  </w:pPr>
                  <w:r>
                    <w:rPr>
                      <w:rFonts w:hint="default" w:ascii="Times New Roman" w:hAnsi="Times New Roman" w:eastAsia="宋体" w:cs="Times New Roman"/>
                      <w:bCs/>
                      <w:color w:val="000000"/>
                      <w:sz w:val="24"/>
                      <w:szCs w:val="24"/>
                    </w:rPr>
                    <w:t>广州水投：0 ~ 5%</w:t>
                  </w:r>
                </w:p>
                <w:p w14:paraId="6649990E">
                  <w:pPr>
                    <w:pStyle w:val="5"/>
                    <w:keepNext w:val="0"/>
                    <w:keepLines w:val="0"/>
                    <w:widowControl w:val="0"/>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sz w:val="24"/>
                      <w:szCs w:val="24"/>
                    </w:rPr>
                  </w:pPr>
                  <w:r>
                    <w:rPr>
                      <w:rFonts w:hint="default" w:ascii="Times New Roman" w:hAnsi="Times New Roman" w:eastAsia="宋体" w:cs="Times New Roman"/>
                      <w:bCs/>
                      <w:color w:val="000000"/>
                      <w:sz w:val="24"/>
                      <w:szCs w:val="24"/>
                    </w:rPr>
                    <w:t>各方合计：0 ~ 5%</w:t>
                  </w:r>
                </w:p>
              </w:tc>
            </w:tr>
            <w:tr w14:paraId="7805F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9" w:type="dxa"/>
                  <w:tcBorders>
                    <w:top w:val="single" w:color="auto" w:sz="4" w:space="0"/>
                    <w:left w:val="single" w:color="auto" w:sz="4" w:space="0"/>
                    <w:bottom w:val="single" w:color="auto" w:sz="4" w:space="0"/>
                    <w:right w:val="single" w:color="auto" w:sz="4" w:space="0"/>
                  </w:tcBorders>
                  <w:noWrap w:val="0"/>
                  <w:vAlign w:val="center"/>
                </w:tcPr>
                <w:p w14:paraId="0369067E">
                  <w:pPr>
                    <w:pStyle w:val="5"/>
                    <w:keepNext w:val="0"/>
                    <w:keepLines w:val="0"/>
                    <w:widowControl w:val="0"/>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sz w:val="24"/>
                      <w:szCs w:val="24"/>
                      <w:lang w:val="en-US" w:bidi="ar-SA"/>
                    </w:rPr>
                  </w:pPr>
                  <w:r>
                    <w:rPr>
                      <w:rFonts w:hint="default" w:ascii="Times New Roman" w:hAnsi="Times New Roman" w:eastAsia="宋体" w:cs="Times New Roman"/>
                      <w:bCs/>
                      <w:color w:val="000000"/>
                      <w:sz w:val="24"/>
                      <w:szCs w:val="24"/>
                      <w:lang w:val="en-US" w:bidi="ar-SA"/>
                    </w:rPr>
                    <w:t>城市公共供水服务市场</w:t>
                  </w:r>
                </w:p>
              </w:tc>
              <w:tc>
                <w:tcPr>
                  <w:tcW w:w="1715" w:type="dxa"/>
                  <w:tcBorders>
                    <w:top w:val="single" w:color="auto" w:sz="4" w:space="0"/>
                    <w:left w:val="single" w:color="auto" w:sz="4" w:space="0"/>
                    <w:bottom w:val="single" w:color="auto" w:sz="4" w:space="0"/>
                    <w:right w:val="single" w:color="auto" w:sz="4" w:space="0"/>
                  </w:tcBorders>
                  <w:noWrap w:val="0"/>
                  <w:vAlign w:val="center"/>
                </w:tcPr>
                <w:p w14:paraId="5E56A34B">
                  <w:pPr>
                    <w:pStyle w:val="5"/>
                    <w:keepNext w:val="0"/>
                    <w:keepLines w:val="0"/>
                    <w:widowControl w:val="0"/>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sz w:val="24"/>
                      <w:szCs w:val="24"/>
                      <w:lang w:val="en-US" w:bidi="ar-SA"/>
                    </w:rPr>
                  </w:pPr>
                  <w:r>
                    <w:rPr>
                      <w:rFonts w:hint="default" w:ascii="Times New Roman" w:hAnsi="Times New Roman" w:eastAsia="宋体" w:cs="Times New Roman"/>
                      <w:bCs/>
                      <w:color w:val="000000"/>
                      <w:sz w:val="24"/>
                      <w:szCs w:val="24"/>
                      <w:lang w:val="en-US" w:bidi="ar-SA"/>
                    </w:rPr>
                    <w:t>中国境内</w:t>
                  </w:r>
                </w:p>
              </w:tc>
              <w:tc>
                <w:tcPr>
                  <w:tcW w:w="3441" w:type="dxa"/>
                  <w:tcBorders>
                    <w:top w:val="single" w:color="auto" w:sz="4" w:space="0"/>
                    <w:left w:val="single" w:color="auto" w:sz="4" w:space="0"/>
                    <w:bottom w:val="single" w:color="auto" w:sz="4" w:space="0"/>
                    <w:right w:val="single" w:color="auto" w:sz="4" w:space="0"/>
                  </w:tcBorders>
                  <w:noWrap w:val="0"/>
                  <w:vAlign w:val="center"/>
                </w:tcPr>
                <w:p w14:paraId="70E344F3">
                  <w:pPr>
                    <w:pStyle w:val="5"/>
                    <w:keepNext w:val="0"/>
                    <w:keepLines w:val="0"/>
                    <w:widowControl w:val="0"/>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sz w:val="24"/>
                      <w:szCs w:val="24"/>
                    </w:rPr>
                  </w:pPr>
                  <w:r>
                    <w:rPr>
                      <w:rFonts w:hint="default" w:ascii="Times New Roman" w:hAnsi="Times New Roman" w:eastAsia="宋体" w:cs="Times New Roman"/>
                      <w:bCs/>
                      <w:color w:val="000000"/>
                      <w:sz w:val="24"/>
                      <w:szCs w:val="24"/>
                    </w:rPr>
                    <w:t>中建三局：0 ~ 5%</w:t>
                  </w:r>
                </w:p>
                <w:p w14:paraId="777A34AB">
                  <w:pPr>
                    <w:pStyle w:val="5"/>
                    <w:keepNext w:val="0"/>
                    <w:keepLines w:val="0"/>
                    <w:widowControl w:val="0"/>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sz w:val="24"/>
                      <w:szCs w:val="24"/>
                    </w:rPr>
                  </w:pPr>
                  <w:r>
                    <w:rPr>
                      <w:rFonts w:hint="default" w:ascii="Times New Roman" w:hAnsi="Times New Roman" w:eastAsia="宋体" w:cs="Times New Roman"/>
                      <w:bCs/>
                      <w:color w:val="000000"/>
                      <w:sz w:val="24"/>
                      <w:szCs w:val="24"/>
                    </w:rPr>
                    <w:t>广州水投：0 ~ 5%</w:t>
                  </w:r>
                </w:p>
                <w:p w14:paraId="6E2CAB47">
                  <w:pPr>
                    <w:pStyle w:val="5"/>
                    <w:keepNext w:val="0"/>
                    <w:keepLines w:val="0"/>
                    <w:widowControl w:val="0"/>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sz w:val="24"/>
                      <w:szCs w:val="24"/>
                    </w:rPr>
                  </w:pPr>
                  <w:r>
                    <w:rPr>
                      <w:rFonts w:hint="default" w:ascii="Times New Roman" w:hAnsi="Times New Roman" w:eastAsia="宋体" w:cs="Times New Roman"/>
                      <w:bCs/>
                      <w:color w:val="000000"/>
                      <w:sz w:val="24"/>
                      <w:szCs w:val="24"/>
                    </w:rPr>
                    <w:t>各方合计：0 ~ 5%</w:t>
                  </w:r>
                </w:p>
              </w:tc>
            </w:tr>
            <w:tr w14:paraId="37D48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9" w:type="dxa"/>
                  <w:tcBorders>
                    <w:top w:val="single" w:color="auto" w:sz="4" w:space="0"/>
                    <w:left w:val="single" w:color="auto" w:sz="4" w:space="0"/>
                    <w:bottom w:val="single" w:color="auto" w:sz="4" w:space="0"/>
                    <w:right w:val="single" w:color="auto" w:sz="4" w:space="0"/>
                  </w:tcBorders>
                  <w:noWrap w:val="0"/>
                  <w:vAlign w:val="center"/>
                </w:tcPr>
                <w:p w14:paraId="24AFA914">
                  <w:pPr>
                    <w:pStyle w:val="5"/>
                    <w:keepNext w:val="0"/>
                    <w:keepLines w:val="0"/>
                    <w:widowControl w:val="0"/>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sz w:val="24"/>
                      <w:szCs w:val="24"/>
                      <w:lang w:val="en-US" w:bidi="ar-SA"/>
                    </w:rPr>
                  </w:pPr>
                  <w:r>
                    <w:rPr>
                      <w:rFonts w:hint="default" w:ascii="Times New Roman" w:hAnsi="Times New Roman" w:eastAsia="宋体" w:cs="Times New Roman"/>
                      <w:bCs/>
                      <w:color w:val="000000"/>
                      <w:sz w:val="24"/>
                      <w:szCs w:val="24"/>
                      <w:lang w:val="en-US" w:bidi="ar-SA"/>
                    </w:rPr>
                    <w:t>城镇污水处理服务市场</w:t>
                  </w:r>
                </w:p>
              </w:tc>
              <w:tc>
                <w:tcPr>
                  <w:tcW w:w="1715" w:type="dxa"/>
                  <w:tcBorders>
                    <w:top w:val="single" w:color="auto" w:sz="4" w:space="0"/>
                    <w:left w:val="single" w:color="auto" w:sz="4" w:space="0"/>
                    <w:bottom w:val="single" w:color="auto" w:sz="4" w:space="0"/>
                    <w:right w:val="single" w:color="auto" w:sz="4" w:space="0"/>
                  </w:tcBorders>
                  <w:noWrap w:val="0"/>
                  <w:vAlign w:val="center"/>
                </w:tcPr>
                <w:p w14:paraId="3DFDB23B">
                  <w:pPr>
                    <w:pStyle w:val="5"/>
                    <w:keepNext w:val="0"/>
                    <w:keepLines w:val="0"/>
                    <w:widowControl w:val="0"/>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sz w:val="24"/>
                      <w:szCs w:val="24"/>
                      <w:lang w:val="en-US" w:bidi="ar-SA"/>
                    </w:rPr>
                  </w:pPr>
                  <w:r>
                    <w:rPr>
                      <w:rFonts w:hint="default" w:ascii="Times New Roman" w:hAnsi="Times New Roman" w:eastAsia="宋体" w:cs="Times New Roman"/>
                      <w:bCs/>
                      <w:color w:val="000000"/>
                      <w:sz w:val="24"/>
                      <w:szCs w:val="24"/>
                      <w:lang w:val="en-US" w:bidi="ar-SA"/>
                    </w:rPr>
                    <w:t>中国境内</w:t>
                  </w:r>
                </w:p>
              </w:tc>
              <w:tc>
                <w:tcPr>
                  <w:tcW w:w="3441" w:type="dxa"/>
                  <w:tcBorders>
                    <w:top w:val="single" w:color="auto" w:sz="4" w:space="0"/>
                    <w:left w:val="single" w:color="auto" w:sz="4" w:space="0"/>
                    <w:bottom w:val="single" w:color="auto" w:sz="4" w:space="0"/>
                    <w:right w:val="single" w:color="auto" w:sz="4" w:space="0"/>
                  </w:tcBorders>
                  <w:noWrap w:val="0"/>
                  <w:vAlign w:val="center"/>
                </w:tcPr>
                <w:p w14:paraId="33B40AE2">
                  <w:pPr>
                    <w:pStyle w:val="5"/>
                    <w:keepNext w:val="0"/>
                    <w:keepLines w:val="0"/>
                    <w:widowControl w:val="0"/>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sz w:val="24"/>
                      <w:szCs w:val="24"/>
                    </w:rPr>
                  </w:pPr>
                  <w:r>
                    <w:rPr>
                      <w:rFonts w:hint="default" w:ascii="Times New Roman" w:hAnsi="Times New Roman" w:eastAsia="宋体" w:cs="Times New Roman"/>
                      <w:bCs/>
                      <w:color w:val="000000"/>
                      <w:sz w:val="24"/>
                      <w:szCs w:val="24"/>
                    </w:rPr>
                    <w:t>中建三局：0 ~ 5%</w:t>
                  </w:r>
                </w:p>
                <w:p w14:paraId="082FC68C">
                  <w:pPr>
                    <w:pStyle w:val="5"/>
                    <w:keepNext w:val="0"/>
                    <w:keepLines w:val="0"/>
                    <w:widowControl w:val="0"/>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sz w:val="24"/>
                      <w:szCs w:val="24"/>
                    </w:rPr>
                  </w:pPr>
                  <w:r>
                    <w:rPr>
                      <w:rFonts w:hint="default" w:ascii="Times New Roman" w:hAnsi="Times New Roman" w:eastAsia="宋体" w:cs="Times New Roman"/>
                      <w:bCs/>
                      <w:color w:val="000000"/>
                      <w:sz w:val="24"/>
                      <w:szCs w:val="24"/>
                    </w:rPr>
                    <w:t>广州水投：0 ~ 5%</w:t>
                  </w:r>
                </w:p>
                <w:p w14:paraId="17A4160F">
                  <w:pPr>
                    <w:pStyle w:val="5"/>
                    <w:keepNext w:val="0"/>
                    <w:keepLines w:val="0"/>
                    <w:widowControl w:val="0"/>
                    <w:suppressLineNumbers w:val="0"/>
                    <w:adjustRightInd w:val="0"/>
                    <w:snapToGrid w:val="0"/>
                    <w:spacing w:before="0" w:beforeAutospacing="0" w:after="0" w:afterAutospacing="0"/>
                    <w:ind w:left="0" w:right="0"/>
                    <w:rPr>
                      <w:rFonts w:hint="default" w:ascii="Times New Roman" w:hAnsi="Times New Roman" w:eastAsia="宋体" w:cs="Times New Roman"/>
                      <w:bCs/>
                      <w:color w:val="000000"/>
                      <w:sz w:val="24"/>
                      <w:szCs w:val="24"/>
                    </w:rPr>
                  </w:pPr>
                  <w:r>
                    <w:rPr>
                      <w:rFonts w:hint="default" w:ascii="Times New Roman" w:hAnsi="Times New Roman" w:eastAsia="宋体" w:cs="Times New Roman"/>
                      <w:bCs/>
                      <w:color w:val="000000"/>
                      <w:sz w:val="24"/>
                      <w:szCs w:val="24"/>
                    </w:rPr>
                    <w:t>各方合计：0 ~ 5%</w:t>
                  </w:r>
                </w:p>
              </w:tc>
            </w:tr>
          </w:tbl>
          <w:p w14:paraId="55264924">
            <w:pPr>
              <w:pStyle w:val="5"/>
              <w:keepNext w:val="0"/>
              <w:keepLines w:val="0"/>
              <w:suppressLineNumbers w:val="0"/>
              <w:adjustRightInd w:val="0"/>
              <w:snapToGrid w:val="0"/>
              <w:spacing w:before="0" w:beforeAutospacing="0" w:after="0" w:afterAutospacing="0" w:line="320" w:lineRule="exact"/>
              <w:ind w:left="0" w:right="0"/>
              <w:rPr>
                <w:rFonts w:hint="eastAsia" w:eastAsia="宋体" w:cs="Times New Roman"/>
                <w:b w:val="0"/>
                <w:bCs/>
                <w:color w:val="000000" w:themeColor="text1"/>
                <w:kern w:val="0"/>
                <w:sz w:val="24"/>
                <w:lang w:eastAsia="zh-CN" w:bidi="ar-AE"/>
                <w14:textFill>
                  <w14:solidFill>
                    <w14:schemeClr w14:val="tx1"/>
                  </w14:solidFill>
                </w14:textFill>
              </w:rPr>
            </w:pPr>
          </w:p>
        </w:tc>
      </w:tr>
    </w:tbl>
    <w:p w14:paraId="424D36AC">
      <w:pPr>
        <w:pStyle w:val="3"/>
        <w:rPr>
          <w:rFonts w:hint="default"/>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CF8C8">
    <w:pPr>
      <w:pStyle w:val="6"/>
      <w:tabs>
        <w:tab w:val="clear" w:pos="4153"/>
      </w:tabs>
    </w:pPr>
    <w:r>
      <w:rPr>
        <w:rFonts w:hint="eastAsia"/>
        <w:lang w:eastAsia="zh-CN"/>
      </w:rPr>
      <w:tab/>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NmMTI0ODhhNzFmMGU3MTZhMTA0ODYxYzI1N2YwYjI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F63099"/>
    <w:rsid w:val="00F7053E"/>
    <w:rsid w:val="00F90810"/>
    <w:rsid w:val="00FD5EA5"/>
    <w:rsid w:val="00FF42DD"/>
    <w:rsid w:val="011DF4EB"/>
    <w:rsid w:val="01B165CE"/>
    <w:rsid w:val="0217304F"/>
    <w:rsid w:val="02515359"/>
    <w:rsid w:val="02893A17"/>
    <w:rsid w:val="030806B1"/>
    <w:rsid w:val="03215991"/>
    <w:rsid w:val="03490091"/>
    <w:rsid w:val="03D70EC9"/>
    <w:rsid w:val="045C4A9B"/>
    <w:rsid w:val="04B425C4"/>
    <w:rsid w:val="04B85AFF"/>
    <w:rsid w:val="05AB50DB"/>
    <w:rsid w:val="06075F29"/>
    <w:rsid w:val="072729B8"/>
    <w:rsid w:val="07D6476B"/>
    <w:rsid w:val="087232C3"/>
    <w:rsid w:val="08D6542E"/>
    <w:rsid w:val="08ED34FD"/>
    <w:rsid w:val="093446A7"/>
    <w:rsid w:val="0AF22185"/>
    <w:rsid w:val="0B1835C3"/>
    <w:rsid w:val="0B63273E"/>
    <w:rsid w:val="0B76654F"/>
    <w:rsid w:val="0BD91CE7"/>
    <w:rsid w:val="0C6B60D7"/>
    <w:rsid w:val="0D7FCEE7"/>
    <w:rsid w:val="0DE526A7"/>
    <w:rsid w:val="0E087385"/>
    <w:rsid w:val="0E5C7E9D"/>
    <w:rsid w:val="0EEC791B"/>
    <w:rsid w:val="0F272A69"/>
    <w:rsid w:val="0FA436B7"/>
    <w:rsid w:val="0FBBC6D8"/>
    <w:rsid w:val="10C02711"/>
    <w:rsid w:val="1295728D"/>
    <w:rsid w:val="12ED74AA"/>
    <w:rsid w:val="130B6D76"/>
    <w:rsid w:val="13236AF1"/>
    <w:rsid w:val="13CD6B9B"/>
    <w:rsid w:val="13D6674E"/>
    <w:rsid w:val="150C1E94"/>
    <w:rsid w:val="15D94F21"/>
    <w:rsid w:val="15E47716"/>
    <w:rsid w:val="1680064E"/>
    <w:rsid w:val="17436509"/>
    <w:rsid w:val="181569E7"/>
    <w:rsid w:val="1AA11230"/>
    <w:rsid w:val="1B2D6269"/>
    <w:rsid w:val="1B914E36"/>
    <w:rsid w:val="1BF9394B"/>
    <w:rsid w:val="1BF9AB71"/>
    <w:rsid w:val="1C361957"/>
    <w:rsid w:val="1D086B7C"/>
    <w:rsid w:val="1DA24124"/>
    <w:rsid w:val="1DFA68EF"/>
    <w:rsid w:val="1DFE30C6"/>
    <w:rsid w:val="1F7F05B3"/>
    <w:rsid w:val="1FC81833"/>
    <w:rsid w:val="20C2797E"/>
    <w:rsid w:val="215B059A"/>
    <w:rsid w:val="22062400"/>
    <w:rsid w:val="24606B41"/>
    <w:rsid w:val="246736EB"/>
    <w:rsid w:val="24840815"/>
    <w:rsid w:val="25C17900"/>
    <w:rsid w:val="261144B9"/>
    <w:rsid w:val="27B435B3"/>
    <w:rsid w:val="27ED6C10"/>
    <w:rsid w:val="281C288D"/>
    <w:rsid w:val="289A6D28"/>
    <w:rsid w:val="2B153579"/>
    <w:rsid w:val="2B795B9C"/>
    <w:rsid w:val="2C0B4814"/>
    <w:rsid w:val="2C0C7CCC"/>
    <w:rsid w:val="2CAC25FF"/>
    <w:rsid w:val="2DA61BF1"/>
    <w:rsid w:val="2ECF569F"/>
    <w:rsid w:val="2F0902B7"/>
    <w:rsid w:val="3025112D"/>
    <w:rsid w:val="319E78FD"/>
    <w:rsid w:val="326E3FCD"/>
    <w:rsid w:val="339B1A7D"/>
    <w:rsid w:val="34527864"/>
    <w:rsid w:val="356065C1"/>
    <w:rsid w:val="35741F7B"/>
    <w:rsid w:val="35927D49"/>
    <w:rsid w:val="35A45109"/>
    <w:rsid w:val="36647739"/>
    <w:rsid w:val="36722108"/>
    <w:rsid w:val="37736187"/>
    <w:rsid w:val="37EC4B4C"/>
    <w:rsid w:val="398E7091"/>
    <w:rsid w:val="3A7D25F4"/>
    <w:rsid w:val="3B6C128B"/>
    <w:rsid w:val="3B7505CA"/>
    <w:rsid w:val="3BF42FA2"/>
    <w:rsid w:val="3C1B3849"/>
    <w:rsid w:val="3DBE0E38"/>
    <w:rsid w:val="3DCF2C73"/>
    <w:rsid w:val="3E3B322A"/>
    <w:rsid w:val="3EB73502"/>
    <w:rsid w:val="3EB7365E"/>
    <w:rsid w:val="3EBE2D3F"/>
    <w:rsid w:val="3ED7D01C"/>
    <w:rsid w:val="3EE73D98"/>
    <w:rsid w:val="3EFC27AE"/>
    <w:rsid w:val="3FFE9FFB"/>
    <w:rsid w:val="3FFFF7A9"/>
    <w:rsid w:val="40D7777E"/>
    <w:rsid w:val="41D779C0"/>
    <w:rsid w:val="42C972FA"/>
    <w:rsid w:val="436E421B"/>
    <w:rsid w:val="43E353FE"/>
    <w:rsid w:val="45E92E66"/>
    <w:rsid w:val="46845245"/>
    <w:rsid w:val="46F216C3"/>
    <w:rsid w:val="48567BBA"/>
    <w:rsid w:val="48604985"/>
    <w:rsid w:val="48C332AF"/>
    <w:rsid w:val="49857111"/>
    <w:rsid w:val="498A72A0"/>
    <w:rsid w:val="49DD6CEB"/>
    <w:rsid w:val="4C4E7521"/>
    <w:rsid w:val="4C824703"/>
    <w:rsid w:val="4CC01CF8"/>
    <w:rsid w:val="4CC545E7"/>
    <w:rsid w:val="4CFD75DE"/>
    <w:rsid w:val="4D533669"/>
    <w:rsid w:val="4D611881"/>
    <w:rsid w:val="4DB67BAD"/>
    <w:rsid w:val="4DBF710D"/>
    <w:rsid w:val="4DDB0C16"/>
    <w:rsid w:val="4E585190"/>
    <w:rsid w:val="4E626EA5"/>
    <w:rsid w:val="4F7D0643"/>
    <w:rsid w:val="4FF92653"/>
    <w:rsid w:val="4FFE4A4F"/>
    <w:rsid w:val="50CB3BDA"/>
    <w:rsid w:val="511505E7"/>
    <w:rsid w:val="5275657D"/>
    <w:rsid w:val="53701092"/>
    <w:rsid w:val="53DE53F7"/>
    <w:rsid w:val="549363D0"/>
    <w:rsid w:val="54D26C3D"/>
    <w:rsid w:val="54DD7AC9"/>
    <w:rsid w:val="55413F6A"/>
    <w:rsid w:val="558A3AEC"/>
    <w:rsid w:val="55FF4F39"/>
    <w:rsid w:val="563C0C84"/>
    <w:rsid w:val="567C47AD"/>
    <w:rsid w:val="568C7EFA"/>
    <w:rsid w:val="5721053D"/>
    <w:rsid w:val="5737FFAD"/>
    <w:rsid w:val="5A320350"/>
    <w:rsid w:val="5A4E1134"/>
    <w:rsid w:val="5A8F5421"/>
    <w:rsid w:val="5AB377AC"/>
    <w:rsid w:val="5ADB7A9F"/>
    <w:rsid w:val="5B3BD02C"/>
    <w:rsid w:val="5BDF7AA8"/>
    <w:rsid w:val="5BF7146E"/>
    <w:rsid w:val="5C8E6C69"/>
    <w:rsid w:val="5CC770F3"/>
    <w:rsid w:val="5D381793"/>
    <w:rsid w:val="5D7B194B"/>
    <w:rsid w:val="5DB2544A"/>
    <w:rsid w:val="5E606197"/>
    <w:rsid w:val="5E758AD3"/>
    <w:rsid w:val="5EE5D513"/>
    <w:rsid w:val="5F5B3889"/>
    <w:rsid w:val="5F7404E1"/>
    <w:rsid w:val="5F7BBE1B"/>
    <w:rsid w:val="5FDC5D9A"/>
    <w:rsid w:val="5FEF2D0D"/>
    <w:rsid w:val="60B85CFA"/>
    <w:rsid w:val="61AC7C2D"/>
    <w:rsid w:val="61F32521"/>
    <w:rsid w:val="6229E334"/>
    <w:rsid w:val="63F6661D"/>
    <w:rsid w:val="64920EED"/>
    <w:rsid w:val="64F94FB6"/>
    <w:rsid w:val="64FF0119"/>
    <w:rsid w:val="650C61D5"/>
    <w:rsid w:val="65183212"/>
    <w:rsid w:val="65AC0421"/>
    <w:rsid w:val="66AA099A"/>
    <w:rsid w:val="66E53709"/>
    <w:rsid w:val="67090219"/>
    <w:rsid w:val="6754015D"/>
    <w:rsid w:val="67885F66"/>
    <w:rsid w:val="67D469E8"/>
    <w:rsid w:val="685D233B"/>
    <w:rsid w:val="68B02553"/>
    <w:rsid w:val="68F02D72"/>
    <w:rsid w:val="6911159A"/>
    <w:rsid w:val="69961B9A"/>
    <w:rsid w:val="69C0748D"/>
    <w:rsid w:val="6A0C0F86"/>
    <w:rsid w:val="6A7D30C3"/>
    <w:rsid w:val="6AB94695"/>
    <w:rsid w:val="6B9261CD"/>
    <w:rsid w:val="6B9A71CB"/>
    <w:rsid w:val="6BCB1BF4"/>
    <w:rsid w:val="6BCC0CB3"/>
    <w:rsid w:val="6C45316D"/>
    <w:rsid w:val="6CBF87B4"/>
    <w:rsid w:val="6DED96DF"/>
    <w:rsid w:val="6DEFBAE0"/>
    <w:rsid w:val="6E372E5F"/>
    <w:rsid w:val="6E786ABC"/>
    <w:rsid w:val="6FDF5799"/>
    <w:rsid w:val="6FF54640"/>
    <w:rsid w:val="710A7485"/>
    <w:rsid w:val="71394751"/>
    <w:rsid w:val="71612B4D"/>
    <w:rsid w:val="72131803"/>
    <w:rsid w:val="723024E6"/>
    <w:rsid w:val="72D967F6"/>
    <w:rsid w:val="73026B48"/>
    <w:rsid w:val="74566BED"/>
    <w:rsid w:val="74CE550B"/>
    <w:rsid w:val="75DE2E1F"/>
    <w:rsid w:val="75FC6A6F"/>
    <w:rsid w:val="767FE0B3"/>
    <w:rsid w:val="76CA40F3"/>
    <w:rsid w:val="77527FDF"/>
    <w:rsid w:val="77FFCFC3"/>
    <w:rsid w:val="78410251"/>
    <w:rsid w:val="785A2CB0"/>
    <w:rsid w:val="786F0C92"/>
    <w:rsid w:val="793FB7A1"/>
    <w:rsid w:val="79D31A9C"/>
    <w:rsid w:val="7A9C06E1"/>
    <w:rsid w:val="7AB91678"/>
    <w:rsid w:val="7B8F578C"/>
    <w:rsid w:val="7B9A66EF"/>
    <w:rsid w:val="7BE411F0"/>
    <w:rsid w:val="7BEF0283"/>
    <w:rsid w:val="7BFFD823"/>
    <w:rsid w:val="7C7918BC"/>
    <w:rsid w:val="7D8E8A18"/>
    <w:rsid w:val="7E51A4E4"/>
    <w:rsid w:val="7EBDA18C"/>
    <w:rsid w:val="7EE72273"/>
    <w:rsid w:val="7EF7CDD2"/>
    <w:rsid w:val="7EFEB664"/>
    <w:rsid w:val="7EFFC6B1"/>
    <w:rsid w:val="7F3E3F45"/>
    <w:rsid w:val="7F7BEB9D"/>
    <w:rsid w:val="7FB5C036"/>
    <w:rsid w:val="7FBF2495"/>
    <w:rsid w:val="7FCE6666"/>
    <w:rsid w:val="7FDCAB43"/>
    <w:rsid w:val="7FDF897D"/>
    <w:rsid w:val="7FE91E78"/>
    <w:rsid w:val="7FFDE69B"/>
    <w:rsid w:val="9CBD0B1A"/>
    <w:rsid w:val="9EF6604C"/>
    <w:rsid w:val="A7F9C1DE"/>
    <w:rsid w:val="B593FB7D"/>
    <w:rsid w:val="B8BE5849"/>
    <w:rsid w:val="BCB7048F"/>
    <w:rsid w:val="BF45B9F9"/>
    <w:rsid w:val="BF8E36EE"/>
    <w:rsid w:val="BFDFB85E"/>
    <w:rsid w:val="BFEF5A20"/>
    <w:rsid w:val="BFF5AD43"/>
    <w:rsid w:val="BFF739EC"/>
    <w:rsid w:val="D7FFD2F4"/>
    <w:rsid w:val="D96C2367"/>
    <w:rsid w:val="D9FFDD10"/>
    <w:rsid w:val="DDEFBA43"/>
    <w:rsid w:val="DEAFB90F"/>
    <w:rsid w:val="DF21B821"/>
    <w:rsid w:val="DF9BF5C7"/>
    <w:rsid w:val="DFD76A11"/>
    <w:rsid w:val="E3CF85CB"/>
    <w:rsid w:val="E9F71F09"/>
    <w:rsid w:val="EAFD8D58"/>
    <w:rsid w:val="EB6C770B"/>
    <w:rsid w:val="EBCD181E"/>
    <w:rsid w:val="EBF8DBF2"/>
    <w:rsid w:val="EEBFA8B1"/>
    <w:rsid w:val="EF7C48A7"/>
    <w:rsid w:val="EF9FD700"/>
    <w:rsid w:val="EFBD2AF5"/>
    <w:rsid w:val="EFFFDD70"/>
    <w:rsid w:val="F1B778F1"/>
    <w:rsid w:val="F3FF743F"/>
    <w:rsid w:val="F4FF55F7"/>
    <w:rsid w:val="F5FF6D2D"/>
    <w:rsid w:val="F7FD911C"/>
    <w:rsid w:val="F9778E68"/>
    <w:rsid w:val="F9DF2CA6"/>
    <w:rsid w:val="F9EB589E"/>
    <w:rsid w:val="FAF276D6"/>
    <w:rsid w:val="FB3326CC"/>
    <w:rsid w:val="FBCE4D19"/>
    <w:rsid w:val="FDBF10AA"/>
    <w:rsid w:val="FDDE8728"/>
    <w:rsid w:val="FDFD4EA0"/>
    <w:rsid w:val="FEFBBBDF"/>
    <w:rsid w:val="FF6B92DC"/>
    <w:rsid w:val="FFBC3961"/>
    <w:rsid w:val="FFCF2299"/>
    <w:rsid w:val="FFDBAEE3"/>
    <w:rsid w:val="FFDD1EA1"/>
    <w:rsid w:val="FFE7A9C6"/>
    <w:rsid w:val="FFEEED52"/>
    <w:rsid w:val="FFFF7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13">
    <w:name w:val="Default Paragraph Font"/>
    <w:semiHidden/>
    <w:unhideWhenUsed/>
    <w:qFormat/>
    <w:uiPriority w:val="1"/>
  </w:style>
  <w:style w:type="table" w:default="1" w:styleId="11">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Normal Indent"/>
    <w:basedOn w:val="1"/>
    <w:next w:val="1"/>
    <w:qFormat/>
    <w:uiPriority w:val="99"/>
  </w:style>
  <w:style w:type="paragraph" w:styleId="4">
    <w:name w:val="annotation text"/>
    <w:basedOn w:val="1"/>
    <w:qFormat/>
    <w:uiPriority w:val="0"/>
    <w:pPr>
      <w:jc w:val="left"/>
    </w:pPr>
  </w:style>
  <w:style w:type="paragraph" w:styleId="5">
    <w:name w:val="Body Text"/>
    <w:basedOn w:val="1"/>
    <w:link w:val="19"/>
    <w:unhideWhenUsed/>
    <w:qFormat/>
    <w:uiPriority w:val="99"/>
    <w:pPr>
      <w:spacing w:after="120"/>
    </w:pPr>
  </w:style>
  <w:style w:type="paragraph" w:styleId="6">
    <w:name w:val="footer"/>
    <w:basedOn w:val="1"/>
    <w:link w:val="18"/>
    <w:qFormat/>
    <w:uiPriority w:val="0"/>
    <w:pPr>
      <w:tabs>
        <w:tab w:val="center" w:pos="4153"/>
        <w:tab w:val="right" w:pos="8306"/>
      </w:tabs>
      <w:snapToGrid w:val="0"/>
      <w:jc w:val="left"/>
    </w:pPr>
    <w:rPr>
      <w:sz w:val="18"/>
      <w:szCs w:val="18"/>
    </w:rPr>
  </w:style>
  <w:style w:type="paragraph" w:styleId="7">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8">
    <w:name w:val="toc 2"/>
    <w:basedOn w:val="1"/>
    <w:next w:val="1"/>
    <w:qFormat/>
    <w:uiPriority w:val="0"/>
    <w:pPr>
      <w:ind w:left="420" w:leftChars="200"/>
    </w:pPr>
    <w:rPr>
      <w:rFonts w:ascii="Times New Roman" w:hAnsi="Times New Roman" w:eastAsia="宋体"/>
      <w:sz w:val="30"/>
    </w:rPr>
  </w:style>
  <w:style w:type="paragraph" w:styleId="9">
    <w:name w:val="Normal (Web)"/>
    <w:basedOn w:val="1"/>
    <w:qFormat/>
    <w:uiPriority w:val="0"/>
    <w:rPr>
      <w:sz w:val="24"/>
    </w:rPr>
  </w:style>
  <w:style w:type="paragraph" w:styleId="10">
    <w:name w:val="Body Text First Indent"/>
    <w:basedOn w:val="5"/>
    <w:qFormat/>
    <w:uiPriority w:val="0"/>
    <w:pPr>
      <w:ind w:firstLine="420" w:firstLineChars="100"/>
    </w:p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qFormat/>
    <w:uiPriority w:val="0"/>
    <w:rPr>
      <w:rFonts w:ascii="Times New Roman" w:hAnsi="Times New Roman" w:eastAsia="宋体" w:cs="Simplified Arabic"/>
      <w:sz w:val="24"/>
      <w:szCs w:val="24"/>
      <w:lang w:val="en-GB" w:bidi="ar-AE"/>
    </w:rPr>
  </w:style>
  <w:style w:type="paragraph" w:customStyle="1" w:styleId="15">
    <w:name w:val="名称2"/>
    <w:basedOn w:val="16"/>
    <w:qFormat/>
    <w:uiPriority w:val="0"/>
    <w:pPr>
      <w:spacing w:after="312" w:afterLines="100"/>
    </w:pPr>
    <w:rPr>
      <w:b w:val="0"/>
      <w:sz w:val="20"/>
    </w:rPr>
  </w:style>
  <w:style w:type="paragraph" w:customStyle="1" w:styleId="16">
    <w:name w:val="名称"/>
    <w:basedOn w:val="1"/>
    <w:qFormat/>
    <w:uiPriority w:val="0"/>
    <w:pPr>
      <w:jc w:val="center"/>
    </w:pPr>
    <w:rPr>
      <w:b/>
      <w:kern w:val="0"/>
      <w:sz w:val="44"/>
      <w:szCs w:val="20"/>
    </w:rPr>
  </w:style>
  <w:style w:type="character" w:customStyle="1" w:styleId="17">
    <w:name w:val="页眉 字符"/>
    <w:basedOn w:val="13"/>
    <w:link w:val="7"/>
    <w:qFormat/>
    <w:uiPriority w:val="0"/>
    <w:rPr>
      <w:rFonts w:ascii="Times New Roman" w:hAnsi="Times New Roman" w:eastAsia="宋体" w:cs="Times New Roman"/>
      <w:kern w:val="2"/>
      <w:sz w:val="18"/>
      <w:szCs w:val="18"/>
    </w:rPr>
  </w:style>
  <w:style w:type="character" w:customStyle="1" w:styleId="18">
    <w:name w:val="页脚 字符"/>
    <w:basedOn w:val="13"/>
    <w:link w:val="6"/>
    <w:qFormat/>
    <w:uiPriority w:val="0"/>
    <w:rPr>
      <w:rFonts w:ascii="Times New Roman" w:hAnsi="Times New Roman" w:eastAsia="宋体" w:cs="Times New Roman"/>
      <w:kern w:val="2"/>
      <w:sz w:val="18"/>
      <w:szCs w:val="18"/>
    </w:rPr>
  </w:style>
  <w:style w:type="character" w:customStyle="1" w:styleId="19">
    <w:name w:val="正文文本 字符"/>
    <w:basedOn w:val="13"/>
    <w:link w:val="5"/>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6"/>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 w:type="paragraph" w:customStyle="1" w:styleId="23">
    <w:name w:val="标准文件_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2</Pages>
  <Words>863</Words>
  <Characters>906</Characters>
  <Lines>1</Lines>
  <Paragraphs>1</Paragraphs>
  <TotalTime>39</TotalTime>
  <ScaleCrop>false</ScaleCrop>
  <LinksUpToDate>false</LinksUpToDate>
  <CharactersWithSpaces>937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2023-03-11T09:34:00Z</dcterms:created>
  <dc:creator>张斌（反垄断处）</dc:creator>
  <cp:lastModifiedBy>夏学强   </cp:lastModifiedBy>
  <cp:lastPrinted>2024-04-18T01:34:00Z</cp:lastPrinted>
  <dcterms:modified xsi:type="dcterms:W3CDTF">2026-09-30T09:01:11Z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9632E0B1538419B5AB0ABB6A0D47BBE8</vt:lpwstr>
  </property>
  <property fmtid="{D5CDD505-2E9C-101B-9397-08002B2CF9AE}" pid="4" name="KSOTemplateDocerSaveRecord">
    <vt:lpwstr>eyJoZGlkIjoiYjcyMzQ5NmUwNWNjMzE5MmEwMDE2ZDQ3ZGE5YTYwZWYiLCJ1c2VySWQiOiI1MDg5MjU3NTAifQ==</vt:lpwstr>
  </property>
</Properties>
</file>