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cs="Times New Roman"/>
          <w:sz w:val="30"/>
          <w:szCs w:val="30"/>
        </w:rPr>
      </w:pPr>
      <w:r>
        <w:rPr>
          <w:rFonts w:hint="eastAsia" w:ascii="黑体" w:hAnsi="Times New Roman" w:eastAsia="黑体" w:cs="Times New Roman"/>
          <w:sz w:val="30"/>
          <w:szCs w:val="30"/>
        </w:rPr>
        <w:t>经营者集中简易案件公示表</w:t>
      </w:r>
    </w:p>
    <w:p>
      <w:pPr>
        <w:spacing w:line="440" w:lineRule="exact"/>
        <w:rPr>
          <w:rFonts w:ascii="黑体" w:hAnsi="Times New Roman" w:eastAsia="黑体" w:cs="Times New Roman"/>
          <w:sz w:val="28"/>
          <w:szCs w:val="28"/>
        </w:rPr>
      </w:pPr>
    </w:p>
    <w:p>
      <w:pPr>
        <w:spacing w:line="440" w:lineRule="exact"/>
        <w:ind w:firstLine="846" w:firstLineChars="302"/>
        <w:rPr>
          <w:rFonts w:ascii="仿宋_GB2312" w:hAnsi="Times New Roman" w:eastAsia="仿宋_GB2312" w:cs="Times New Roman"/>
          <w:sz w:val="28"/>
          <w:szCs w:val="28"/>
        </w:rPr>
      </w:pPr>
      <w:r>
        <w:rPr>
          <w:rFonts w:hint="eastAsia" w:ascii="黑体" w:hAnsi="Times New Roman" w:eastAsia="黑体" w:cs="Times New Roman"/>
          <w:sz w:val="28"/>
          <w:szCs w:val="28"/>
        </w:rPr>
        <w:t xml:space="preserve">                        </w:t>
      </w:r>
      <w:r>
        <w:rPr>
          <w:rFonts w:hint="eastAsia" w:ascii="仿宋_GB2312" w:hAnsi="Times New Roman" w:eastAsia="仿宋_GB2312" w:cs="Times New Roman"/>
          <w:sz w:val="28"/>
          <w:szCs w:val="28"/>
        </w:rPr>
        <w:t xml:space="preserve"> </w:t>
      </w: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2297"/>
        <w:gridCol w:w="4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8D8D8" w:themeFill="background1" w:themeFillShade="D9"/>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案件名称</w:t>
            </w:r>
          </w:p>
        </w:tc>
        <w:tc>
          <w:tcPr>
            <w:tcW w:w="6949" w:type="dxa"/>
            <w:gridSpan w:val="2"/>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北京市基础设施投资有限公司收购北京北控交通装备有限公司股权案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8D8D8" w:themeFill="background1" w:themeFillShade="D9"/>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交易概况（限200字内）</w:t>
            </w:r>
          </w:p>
        </w:tc>
        <w:tc>
          <w:tcPr>
            <w:tcW w:w="6949" w:type="dxa"/>
            <w:gridSpan w:val="2"/>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本交易由北京控股集团有限公司和北京市基础设施投资有限责任公司</w:t>
            </w:r>
            <w:r>
              <w:rPr>
                <w:rFonts w:hint="eastAsia" w:ascii="仿宋_GB2312" w:hAnsi="Times New Roman" w:eastAsia="仿宋_GB2312" w:cs="Times New Roman"/>
                <w:sz w:val="28"/>
                <w:szCs w:val="28"/>
                <w:lang w:eastAsia="zh-CN"/>
              </w:rPr>
              <w:t>（“京投公司”）</w:t>
            </w:r>
            <w:r>
              <w:rPr>
                <w:rFonts w:hint="eastAsia" w:ascii="仿宋_GB2312" w:hAnsi="Times New Roman" w:eastAsia="仿宋_GB2312" w:cs="Times New Roman"/>
                <w:sz w:val="28"/>
                <w:szCs w:val="28"/>
              </w:rPr>
              <w:t>进行。通过本交易，北京市基础设施投资有限责任公司受让北京控股集团有限公司持有的北京北控交通装备有限公司</w:t>
            </w:r>
            <w:r>
              <w:rPr>
                <w:rFonts w:hint="eastAsia" w:ascii="仿宋_GB2312" w:hAnsi="Times New Roman" w:eastAsia="仿宋_GB2312" w:cs="Times New Roman"/>
                <w:sz w:val="28"/>
                <w:szCs w:val="28"/>
                <w:lang w:eastAsia="zh-CN"/>
              </w:rPr>
              <w:t>（“北控交通装备”）</w:t>
            </w:r>
            <w:r>
              <w:rPr>
                <w:rFonts w:hint="eastAsia" w:ascii="仿宋_GB2312" w:hAnsi="Times New Roman" w:eastAsia="仿宋_GB2312" w:cs="Times New Roman"/>
                <w:sz w:val="28"/>
                <w:szCs w:val="28"/>
              </w:rPr>
              <w:t>100%股份及其所代表的股权以及附属于该等股权的全部权利、义务及责任。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8D8D8" w:themeFill="background1" w:themeFillShade="D9"/>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参与集中的经营者简介</w:t>
            </w:r>
          </w:p>
        </w:tc>
        <w:tc>
          <w:tcPr>
            <w:tcW w:w="2297" w:type="dxa"/>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1、</w:t>
            </w:r>
            <w:r>
              <w:rPr>
                <w:rFonts w:hint="eastAsia" w:ascii="仿宋_GB2312" w:hAnsi="Times New Roman" w:eastAsia="仿宋_GB2312" w:cs="Times New Roman"/>
                <w:sz w:val="28"/>
                <w:szCs w:val="28"/>
                <w:lang w:eastAsia="zh-CN"/>
              </w:rPr>
              <w:t>京投公司</w:t>
            </w:r>
          </w:p>
        </w:tc>
        <w:tc>
          <w:tcPr>
            <w:tcW w:w="4652" w:type="dxa"/>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lang w:eastAsia="zh-CN"/>
              </w:rPr>
              <w:t>京投公司</w:t>
            </w:r>
            <w:r>
              <w:rPr>
                <w:rFonts w:hint="eastAsia" w:ascii="仿宋_GB2312" w:hAnsi="Times New Roman" w:eastAsia="仿宋_GB2312" w:cs="Times New Roman"/>
                <w:sz w:val="28"/>
                <w:szCs w:val="28"/>
              </w:rPr>
              <w:t>的主要业务为以轨道交通为主的基础设施投融资与管理，同时也从事轨道交通装备制造与信息技术服务，以及土地与物业开发经营等相关资源经营与服务。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8D8D8" w:themeFill="background1" w:themeFillShade="D9"/>
          </w:tcPr>
          <w:p>
            <w:pPr>
              <w:spacing w:line="500" w:lineRule="exact"/>
              <w:rPr>
                <w:rFonts w:ascii="仿宋_GB2312" w:hAnsi="Times New Roman" w:eastAsia="仿宋_GB2312" w:cs="Times New Roman"/>
                <w:sz w:val="28"/>
                <w:szCs w:val="28"/>
              </w:rPr>
            </w:pPr>
          </w:p>
        </w:tc>
        <w:tc>
          <w:tcPr>
            <w:tcW w:w="2297" w:type="dxa"/>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2、</w:t>
            </w:r>
            <w:r>
              <w:rPr>
                <w:rFonts w:hint="eastAsia" w:ascii="仿宋_GB2312" w:hAnsi="Times New Roman" w:eastAsia="仿宋_GB2312" w:cs="Times New Roman"/>
                <w:sz w:val="28"/>
                <w:szCs w:val="28"/>
                <w:lang w:eastAsia="zh-CN"/>
              </w:rPr>
              <w:t>北控交通装备</w:t>
            </w:r>
          </w:p>
        </w:tc>
        <w:tc>
          <w:tcPr>
            <w:tcW w:w="4652" w:type="dxa"/>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lang w:eastAsia="zh-CN"/>
              </w:rPr>
              <w:t>北控交通装备</w:t>
            </w:r>
            <w:r>
              <w:rPr>
                <w:rFonts w:hint="eastAsia" w:ascii="仿宋_GB2312" w:hAnsi="Times New Roman" w:eastAsia="仿宋_GB2312" w:cs="Times New Roman"/>
                <w:sz w:val="28"/>
                <w:szCs w:val="28"/>
              </w:rPr>
              <w:t>的主要业务包括：</w:t>
            </w:r>
            <w:r>
              <w:rPr>
                <w:rFonts w:hint="eastAsia" w:ascii="仿宋_GB2312" w:hAnsi="Times New Roman" w:eastAsia="仿宋_GB2312" w:cs="Times New Roman"/>
                <w:sz w:val="28"/>
                <w:szCs w:val="28"/>
                <w:lang w:eastAsia="zh-CN"/>
              </w:rPr>
              <w:t>地铁</w:t>
            </w:r>
            <w:r>
              <w:rPr>
                <w:rFonts w:hint="eastAsia" w:ascii="仿宋_GB2312" w:hAnsi="Times New Roman" w:eastAsia="仿宋_GB2312" w:cs="Times New Roman"/>
                <w:sz w:val="28"/>
                <w:szCs w:val="28"/>
              </w:rPr>
              <w:t>车辆制造修理、轨道交通项目的投资建设、中低速磁悬浮列车系统集成。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8D8D8" w:themeFill="background1" w:themeFillShade="D9"/>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简易案件理由（可多选）</w:t>
            </w:r>
          </w:p>
        </w:tc>
        <w:tc>
          <w:tcPr>
            <w:tcW w:w="6949" w:type="dxa"/>
            <w:gridSpan w:val="2"/>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8D8D8" w:themeFill="background1" w:themeFillShade="D9"/>
          </w:tcPr>
          <w:p>
            <w:pPr>
              <w:spacing w:line="500" w:lineRule="exact"/>
              <w:rPr>
                <w:rFonts w:ascii="仿宋_GB2312" w:hAnsi="Times New Roman" w:eastAsia="仿宋_GB2312" w:cs="Times New Roman"/>
                <w:sz w:val="28"/>
                <w:szCs w:val="28"/>
              </w:rPr>
            </w:pPr>
          </w:p>
        </w:tc>
        <w:tc>
          <w:tcPr>
            <w:tcW w:w="6949" w:type="dxa"/>
            <w:gridSpan w:val="2"/>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8D8D8" w:themeFill="background1" w:themeFillShade="D9"/>
          </w:tcPr>
          <w:p>
            <w:pPr>
              <w:spacing w:line="500" w:lineRule="exact"/>
              <w:rPr>
                <w:rFonts w:ascii="仿宋_GB2312" w:hAnsi="Times New Roman" w:eastAsia="仿宋_GB2312" w:cs="Times New Roman"/>
                <w:sz w:val="28"/>
                <w:szCs w:val="28"/>
              </w:rPr>
            </w:pPr>
          </w:p>
        </w:tc>
        <w:tc>
          <w:tcPr>
            <w:tcW w:w="6949" w:type="dxa"/>
            <w:gridSpan w:val="2"/>
          </w:tcPr>
          <w:p>
            <w:pPr>
              <w:spacing w:line="500" w:lineRule="exact"/>
              <w:rPr>
                <w:rFonts w:ascii="仿宋_GB2312" w:hAnsi="Times New Roman" w:eastAsia="仿宋_GB2312" w:cs="Times New Roman"/>
                <w:sz w:val="28"/>
                <w:szCs w:val="28"/>
              </w:rPr>
            </w:pPr>
            <w:r>
              <w:rPr>
                <w:rFonts w:hint="eastAsia" w:ascii="黑体" w:eastAsia="黑体"/>
                <w:sz w:val="28"/>
                <w:szCs w:val="28"/>
              </w:rPr>
              <w:sym w:font="Wingdings" w:char="F0FE"/>
            </w:r>
            <w:r>
              <w:rPr>
                <w:rFonts w:hint="eastAsia" w:ascii="仿宋_GB2312" w:hAnsi="Times New Roman" w:eastAsia="仿宋_GB2312" w:cs="Times New Roman"/>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8D8D8" w:themeFill="background1" w:themeFillShade="D9"/>
          </w:tcPr>
          <w:p>
            <w:pPr>
              <w:spacing w:line="500" w:lineRule="exact"/>
              <w:rPr>
                <w:rFonts w:ascii="仿宋_GB2312" w:hAnsi="Times New Roman" w:eastAsia="仿宋_GB2312" w:cs="Times New Roman"/>
                <w:sz w:val="28"/>
                <w:szCs w:val="28"/>
              </w:rPr>
            </w:pPr>
          </w:p>
        </w:tc>
        <w:tc>
          <w:tcPr>
            <w:tcW w:w="6949" w:type="dxa"/>
            <w:gridSpan w:val="2"/>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8D8D8" w:themeFill="background1" w:themeFillShade="D9"/>
          </w:tcPr>
          <w:p>
            <w:pPr>
              <w:spacing w:line="500" w:lineRule="exact"/>
              <w:rPr>
                <w:rFonts w:ascii="仿宋_GB2312" w:hAnsi="Times New Roman" w:eastAsia="仿宋_GB2312" w:cs="Times New Roman"/>
                <w:sz w:val="28"/>
                <w:szCs w:val="28"/>
              </w:rPr>
            </w:pPr>
          </w:p>
        </w:tc>
        <w:tc>
          <w:tcPr>
            <w:tcW w:w="6949" w:type="dxa"/>
            <w:gridSpan w:val="2"/>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8D8D8" w:themeFill="background1" w:themeFillShade="D9"/>
          </w:tcPr>
          <w:p>
            <w:pPr>
              <w:spacing w:line="500" w:lineRule="exact"/>
              <w:rPr>
                <w:rFonts w:ascii="仿宋_GB2312" w:hAnsi="Times New Roman" w:eastAsia="仿宋_GB2312" w:cs="Times New Roman"/>
                <w:sz w:val="28"/>
                <w:szCs w:val="28"/>
              </w:rPr>
            </w:pPr>
          </w:p>
        </w:tc>
        <w:tc>
          <w:tcPr>
            <w:tcW w:w="6949" w:type="dxa"/>
            <w:gridSpan w:val="2"/>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8D8D8" w:themeFill="background1" w:themeFillShade="D9"/>
          </w:tcPr>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备注</w:t>
            </w:r>
          </w:p>
        </w:tc>
        <w:tc>
          <w:tcPr>
            <w:tcW w:w="6949" w:type="dxa"/>
            <w:gridSpan w:val="2"/>
          </w:tcPr>
          <w:p>
            <w:pPr>
              <w:spacing w:line="500" w:lineRule="exact"/>
              <w:rPr>
                <w:rFonts w:hint="eastAsia" w:ascii="仿宋_GB2312" w:hAnsi="Times New Roman" w:eastAsia="仿宋_GB2312" w:cs="Times New Roman"/>
                <w:b/>
                <w:sz w:val="28"/>
                <w:szCs w:val="28"/>
              </w:rPr>
            </w:pPr>
            <w:r>
              <w:rPr>
                <w:rFonts w:hint="eastAsia" w:ascii="仿宋_GB2312" w:hAnsi="Times New Roman" w:eastAsia="仿宋_GB2312" w:cs="Times New Roman"/>
                <w:b/>
                <w:sz w:val="28"/>
                <w:szCs w:val="28"/>
              </w:rPr>
              <w:t>相关产品市场：</w:t>
            </w:r>
          </w:p>
          <w:p>
            <w:pPr>
              <w:spacing w:line="500" w:lineRule="exact"/>
              <w:rPr>
                <w:rFonts w:hint="eastAsia" w:ascii="仿宋_GB2312" w:hAnsi="Times New Roman" w:eastAsia="仿宋_GB2312" w:cs="Times New Roman"/>
                <w:sz w:val="28"/>
                <w:szCs w:val="28"/>
              </w:rPr>
            </w:pPr>
            <w:r>
              <w:rPr>
                <w:rFonts w:hint="eastAsia" w:ascii="仿宋_GB2312" w:hAnsi="Times New Roman" w:eastAsia="仿宋_GB2312" w:cs="Times New Roman"/>
                <w:sz w:val="28"/>
                <w:szCs w:val="28"/>
                <w:lang w:val="en-US" w:eastAsia="zh-CN"/>
              </w:rPr>
              <w:t>1、</w:t>
            </w:r>
            <w:r>
              <w:rPr>
                <w:rFonts w:hint="eastAsia" w:ascii="仿宋_GB2312" w:hAnsi="Times New Roman" w:eastAsia="仿宋_GB2312" w:cs="Times New Roman"/>
                <w:sz w:val="28"/>
                <w:szCs w:val="28"/>
                <w:lang w:eastAsia="zh-CN"/>
              </w:rPr>
              <w:t>地铁</w:t>
            </w:r>
            <w:r>
              <w:rPr>
                <w:rFonts w:hint="eastAsia" w:ascii="仿宋_GB2312" w:hAnsi="Times New Roman" w:eastAsia="仿宋_GB2312" w:cs="Times New Roman"/>
                <w:sz w:val="28"/>
                <w:szCs w:val="28"/>
              </w:rPr>
              <w:t>车辆制造销售市场；</w:t>
            </w:r>
            <w:r>
              <w:rPr>
                <w:rFonts w:hint="eastAsia" w:ascii="仿宋_GB2312" w:hAnsi="Times New Roman" w:eastAsia="仿宋_GB2312" w:cs="Times New Roman"/>
                <w:sz w:val="28"/>
                <w:szCs w:val="28"/>
                <w:lang w:val="en-US" w:eastAsia="zh-CN"/>
              </w:rPr>
              <w:t>2、</w:t>
            </w:r>
            <w:r>
              <w:rPr>
                <w:rFonts w:hint="eastAsia" w:ascii="仿宋_GB2312" w:hAnsi="Times New Roman" w:eastAsia="仿宋_GB2312" w:cs="Times New Roman"/>
                <w:sz w:val="28"/>
                <w:szCs w:val="28"/>
                <w:lang w:eastAsia="zh-CN"/>
              </w:rPr>
              <w:t>地铁</w:t>
            </w:r>
            <w:r>
              <w:rPr>
                <w:rFonts w:hint="eastAsia" w:ascii="仿宋_GB2312" w:hAnsi="Times New Roman" w:eastAsia="仿宋_GB2312" w:cs="Times New Roman"/>
                <w:sz w:val="28"/>
                <w:szCs w:val="28"/>
              </w:rPr>
              <w:t>车辆维修市场</w:t>
            </w:r>
          </w:p>
          <w:p>
            <w:pPr>
              <w:spacing w:line="500" w:lineRule="exact"/>
              <w:rPr>
                <w:rFonts w:hint="eastAsia" w:ascii="仿宋_GB2312" w:hAnsi="Times New Roman" w:eastAsia="仿宋_GB2312" w:cs="Times New Roman"/>
                <w:b/>
                <w:sz w:val="28"/>
                <w:szCs w:val="28"/>
              </w:rPr>
            </w:pPr>
            <w:r>
              <w:rPr>
                <w:rFonts w:hint="eastAsia" w:ascii="仿宋_GB2312" w:hAnsi="Times New Roman" w:eastAsia="仿宋_GB2312" w:cs="Times New Roman"/>
                <w:b/>
                <w:sz w:val="28"/>
                <w:szCs w:val="28"/>
              </w:rPr>
              <w:t>相关地域市场：</w:t>
            </w:r>
          </w:p>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中国市场</w:t>
            </w:r>
          </w:p>
          <w:p>
            <w:pPr>
              <w:spacing w:line="500" w:lineRule="exact"/>
              <w:rPr>
                <w:rFonts w:ascii="仿宋_GB2312" w:hAnsi="Times New Roman" w:eastAsia="仿宋_GB2312" w:cs="Times New Roman"/>
                <w:b/>
                <w:sz w:val="28"/>
                <w:szCs w:val="28"/>
              </w:rPr>
            </w:pPr>
            <w:r>
              <w:rPr>
                <w:rFonts w:hint="eastAsia" w:ascii="仿宋_GB2312" w:hAnsi="Times New Roman" w:eastAsia="仿宋_GB2312" w:cs="Times New Roman"/>
                <w:b/>
                <w:sz w:val="28"/>
                <w:szCs w:val="28"/>
              </w:rPr>
              <w:t>市场份额：</w:t>
            </w:r>
          </w:p>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中国</w:t>
            </w:r>
            <w:r>
              <w:rPr>
                <w:rFonts w:hint="eastAsia" w:ascii="仿宋_GB2312" w:hAnsi="Times New Roman" w:eastAsia="仿宋_GB2312" w:cs="Times New Roman"/>
                <w:sz w:val="28"/>
                <w:szCs w:val="28"/>
                <w:lang w:eastAsia="zh-CN"/>
              </w:rPr>
              <w:t>地铁</w:t>
            </w:r>
            <w:r>
              <w:rPr>
                <w:rFonts w:hint="eastAsia" w:ascii="仿宋_GB2312" w:hAnsi="Times New Roman" w:eastAsia="仿宋_GB2312" w:cs="Times New Roman"/>
                <w:sz w:val="28"/>
                <w:szCs w:val="28"/>
              </w:rPr>
              <w:t>车辆制造销售市场：</w:t>
            </w:r>
            <w:r>
              <w:rPr>
                <w:rFonts w:hint="eastAsia" w:ascii="仿宋_GB2312" w:hAnsi="Times New Roman" w:eastAsia="仿宋_GB2312" w:cs="Times New Roman"/>
                <w:sz w:val="28"/>
                <w:szCs w:val="28"/>
                <w:lang w:eastAsia="zh-CN"/>
              </w:rPr>
              <w:t>京投公司</w:t>
            </w:r>
            <w:r>
              <w:rPr>
                <w:rFonts w:ascii="仿宋_GB2312" w:hAnsi="Times New Roman" w:eastAsia="仿宋_GB2312" w:cs="Times New Roman"/>
                <w:sz w:val="28"/>
                <w:szCs w:val="28"/>
              </w:rPr>
              <w:t>0%</w:t>
            </w:r>
            <w:r>
              <w:rPr>
                <w:rFonts w:hint="eastAsia" w:ascii="仿宋_GB2312" w:hAnsi="Times New Roman" w:eastAsia="仿宋_GB2312" w:cs="Times New Roman"/>
                <w:sz w:val="28"/>
                <w:szCs w:val="28"/>
                <w:lang w:eastAsia="zh-CN"/>
              </w:rPr>
              <w:t>；北控交通装备</w:t>
            </w:r>
            <w:r>
              <w:rPr>
                <w:rFonts w:hint="eastAsia" w:ascii="仿宋_GB2312" w:hAnsi="Times New Roman" w:eastAsia="仿宋_GB2312" w:cs="Times New Roman"/>
                <w:sz w:val="28"/>
                <w:szCs w:val="28"/>
              </w:rPr>
              <w:t>[</w:t>
            </w:r>
            <w:r>
              <w:rPr>
                <w:rFonts w:ascii="仿宋_GB2312" w:hAnsi="Times New Roman" w:eastAsia="仿宋_GB2312" w:cs="Times New Roman"/>
                <w:sz w:val="28"/>
                <w:szCs w:val="28"/>
              </w:rPr>
              <w:t>0-5%</w:t>
            </w:r>
            <w:r>
              <w:rPr>
                <w:rFonts w:hint="eastAsia" w:ascii="仿宋_GB2312" w:hAnsi="Times New Roman" w:eastAsia="仿宋_GB2312" w:cs="Times New Roman"/>
                <w:sz w:val="28"/>
                <w:szCs w:val="28"/>
              </w:rPr>
              <w:t>]</w:t>
            </w:r>
          </w:p>
          <w:p>
            <w:pPr>
              <w:spacing w:line="500" w:lineRule="exact"/>
              <w:rPr>
                <w:rFonts w:ascii="仿宋_GB2312" w:hAnsi="Times New Roman" w:eastAsia="仿宋_GB2312" w:cs="Times New Roman"/>
                <w:sz w:val="28"/>
                <w:szCs w:val="28"/>
              </w:rPr>
            </w:pPr>
            <w:r>
              <w:rPr>
                <w:rFonts w:hint="eastAsia" w:ascii="仿宋_GB2312" w:hAnsi="Times New Roman" w:eastAsia="仿宋_GB2312" w:cs="Times New Roman"/>
                <w:sz w:val="28"/>
                <w:szCs w:val="28"/>
              </w:rPr>
              <w:t>中国</w:t>
            </w:r>
            <w:r>
              <w:rPr>
                <w:rFonts w:hint="eastAsia" w:ascii="仿宋_GB2312" w:hAnsi="Times New Roman" w:eastAsia="仿宋_GB2312" w:cs="Times New Roman"/>
                <w:sz w:val="28"/>
                <w:szCs w:val="28"/>
                <w:lang w:eastAsia="zh-CN"/>
              </w:rPr>
              <w:t>地铁</w:t>
            </w:r>
            <w:r>
              <w:rPr>
                <w:rFonts w:hint="eastAsia" w:ascii="仿宋_GB2312" w:hAnsi="Times New Roman" w:eastAsia="仿宋_GB2312" w:cs="Times New Roman"/>
                <w:sz w:val="28"/>
                <w:szCs w:val="28"/>
              </w:rPr>
              <w:t>车辆维修市场：</w:t>
            </w:r>
            <w:r>
              <w:rPr>
                <w:rFonts w:hint="eastAsia" w:ascii="仿宋_GB2312" w:hAnsi="Times New Roman" w:eastAsia="仿宋_GB2312" w:cs="Times New Roman"/>
                <w:sz w:val="28"/>
                <w:szCs w:val="28"/>
                <w:lang w:eastAsia="zh-CN"/>
              </w:rPr>
              <w:t>京投公司</w:t>
            </w:r>
            <w:r>
              <w:rPr>
                <w:rFonts w:ascii="仿宋_GB2312" w:hAnsi="Times New Roman" w:eastAsia="仿宋_GB2312" w:cs="Times New Roman"/>
                <w:sz w:val="28"/>
                <w:szCs w:val="28"/>
              </w:rPr>
              <w:t>0%</w:t>
            </w:r>
            <w:r>
              <w:rPr>
                <w:rFonts w:hint="eastAsia" w:ascii="仿宋_GB2312" w:hAnsi="Times New Roman" w:eastAsia="仿宋_GB2312" w:cs="Times New Roman"/>
                <w:sz w:val="28"/>
                <w:szCs w:val="28"/>
                <w:lang w:eastAsia="zh-CN"/>
              </w:rPr>
              <w:t>；北控交通装备</w:t>
            </w:r>
            <w:r>
              <w:rPr>
                <w:rFonts w:hint="eastAsia" w:ascii="仿宋_GB2312" w:hAnsi="Times New Roman" w:eastAsia="仿宋_GB2312" w:cs="Times New Roman"/>
                <w:sz w:val="28"/>
                <w:szCs w:val="28"/>
              </w:rPr>
              <w:t>[</w:t>
            </w:r>
            <w:r>
              <w:rPr>
                <w:rFonts w:hint="eastAsia" w:ascii="仿宋_GB2312" w:hAnsi="Times New Roman" w:eastAsia="仿宋_GB2312" w:cs="Times New Roman"/>
                <w:sz w:val="28"/>
                <w:szCs w:val="28"/>
                <w:lang w:val="en-US" w:eastAsia="zh-CN"/>
              </w:rPr>
              <w:t>20</w:t>
            </w:r>
            <w:r>
              <w:rPr>
                <w:rFonts w:ascii="仿宋_GB2312" w:hAnsi="Times New Roman" w:eastAsia="仿宋_GB2312" w:cs="Times New Roman"/>
                <w:sz w:val="28"/>
                <w:szCs w:val="28"/>
              </w:rPr>
              <w:t>-</w:t>
            </w:r>
            <w:r>
              <w:rPr>
                <w:rFonts w:hint="eastAsia" w:ascii="仿宋_GB2312" w:hAnsi="Times New Roman" w:eastAsia="仿宋_GB2312" w:cs="Times New Roman"/>
                <w:sz w:val="28"/>
                <w:szCs w:val="28"/>
                <w:lang w:val="en-US" w:eastAsia="zh-CN"/>
              </w:rPr>
              <w:t>25</w:t>
            </w:r>
            <w:r>
              <w:rPr>
                <w:rFonts w:ascii="仿宋_GB2312" w:hAnsi="Times New Roman" w:eastAsia="仿宋_GB2312" w:cs="Times New Roman"/>
                <w:sz w:val="28"/>
                <w:szCs w:val="28"/>
              </w:rPr>
              <w:t>%</w:t>
            </w:r>
            <w:r>
              <w:rPr>
                <w:rFonts w:hint="eastAsia" w:ascii="仿宋_GB2312" w:hAnsi="Times New Roman" w:eastAsia="仿宋_GB2312" w:cs="Times New Roman"/>
                <w:sz w:val="28"/>
                <w:szCs w:val="28"/>
              </w:rPr>
              <w:t>]</w:t>
            </w:r>
            <w:bookmarkStart w:id="0" w:name="_GoBack"/>
            <w:bookmarkEnd w:id="0"/>
          </w:p>
        </w:tc>
      </w:tr>
    </w:tbl>
    <w:p>
      <w:pPr>
        <w:spacing w:line="500" w:lineRule="exact"/>
        <w:rPr>
          <w:rFonts w:ascii="仿宋_GB2312" w:hAnsi="Times New Roman" w:eastAsia="仿宋_GB2312" w:cs="Times New Roman"/>
          <w:sz w:val="28"/>
          <w:szCs w:val="28"/>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AFF" w:usb1="C0007843" w:usb2="00000009" w:usb3="00000000" w:csb0="400001FF" w:csb1="FFFF0000"/>
  </w:font>
  <w:font w:name="ˎ̥">
    <w:altName w:val="Times New Roman"/>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94095"/>
    <w:rsid w:val="00095549"/>
    <w:rsid w:val="00462174"/>
    <w:rsid w:val="006E3E78"/>
    <w:rsid w:val="007D79E4"/>
    <w:rsid w:val="008E7791"/>
    <w:rsid w:val="00936B6D"/>
    <w:rsid w:val="00C0112F"/>
    <w:rsid w:val="00F127AA"/>
    <w:rsid w:val="00F87C1F"/>
    <w:rsid w:val="422E0CC6"/>
    <w:rsid w:val="6D020548"/>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qFormat/>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endnote text"/>
    <w:basedOn w:val="1"/>
    <w:link w:val="9"/>
    <w:unhideWhenUsed/>
    <w:uiPriority w:val="99"/>
    <w:pPr>
      <w:snapToGrid w:val="0"/>
      <w:jc w:val="left"/>
    </w:p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endnote reference"/>
    <w:basedOn w:val="5"/>
    <w:unhideWhenUsed/>
    <w:qFormat/>
    <w:uiPriority w:val="99"/>
    <w:rPr>
      <w:vertAlign w:val="superscript"/>
    </w:rPr>
  </w:style>
  <w:style w:type="table" w:styleId="8">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9">
    <w:name w:val="尾注文本 字符"/>
    <w:basedOn w:val="5"/>
    <w:link w:val="2"/>
    <w:semiHidden/>
    <w:uiPriority w:val="99"/>
  </w:style>
  <w:style w:type="character" w:customStyle="1" w:styleId="10">
    <w:name w:val="页眉 字符"/>
    <w:basedOn w:val="5"/>
    <w:link w:val="4"/>
    <w:qFormat/>
    <w:uiPriority w:val="99"/>
    <w:rPr>
      <w:sz w:val="18"/>
      <w:szCs w:val="18"/>
    </w:rPr>
  </w:style>
  <w:style w:type="character" w:customStyle="1" w:styleId="11">
    <w:name w:val="页脚 字符"/>
    <w:basedOn w:val="5"/>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132</Words>
  <Characters>754</Characters>
  <Lines>6</Lines>
  <Paragraphs>1</Paragraphs>
  <ScaleCrop>false</ScaleCrop>
  <LinksUpToDate>false</LinksUpToDate>
  <CharactersWithSpaces>885</CharactersWithSpaces>
  <Application>WPS Office_10.1.0.6029_F1E327BC-269C-435d-A152-05C5408002CA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2016-01-27T11:11:00Z</dcterms:created>
  <dc:creator>dell</dc:creator>
  <cp:lastModifiedBy>TY</cp:lastModifiedBy>
  <dcterms:modified xsi:type="dcterms:W3CDTF">2016-11-10T10:58:05Z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