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Arial" w:hAnsi="Arial" w:eastAsia="仿宋_GB2312" w:cs="Arial"/>
          <w:sz w:val="30"/>
          <w:szCs w:val="30"/>
        </w:rPr>
      </w:pPr>
    </w:p>
    <w:p>
      <w:pPr>
        <w:spacing w:line="440" w:lineRule="exact"/>
        <w:jc w:val="center"/>
        <w:rPr>
          <w:rFonts w:ascii="Arial" w:hAnsi="Arial" w:eastAsia="仿宋_GB2312" w:cs="Arial"/>
          <w:sz w:val="30"/>
          <w:szCs w:val="30"/>
        </w:rPr>
      </w:pPr>
      <w:r>
        <w:rPr>
          <w:rFonts w:ascii="Arial" w:hAnsi="Arial" w:eastAsia="仿宋_GB2312" w:cs="Arial"/>
          <w:sz w:val="30"/>
          <w:szCs w:val="30"/>
        </w:rPr>
        <w:t>经营者集中简易案件公示表</w:t>
      </w:r>
    </w:p>
    <w:p>
      <w:pPr>
        <w:spacing w:line="440" w:lineRule="exact"/>
        <w:rPr>
          <w:rFonts w:ascii="Arial" w:hAnsi="Arial" w:eastAsia="仿宋_GB2312" w:cs="Arial"/>
          <w:sz w:val="28"/>
          <w:szCs w:val="28"/>
        </w:rPr>
      </w:pPr>
    </w:p>
    <w:tbl>
      <w:tblPr>
        <w:tblStyle w:val="9"/>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8D8D8" w:themeFill="background1" w:themeFillShade="D9"/>
          </w:tcPr>
          <w:p>
            <w:pPr>
              <w:spacing w:line="500" w:lineRule="exact"/>
              <w:rPr>
                <w:rFonts w:ascii="Arial" w:hAnsi="Arial" w:eastAsia="仿宋_GB2312" w:cs="Arial"/>
                <w:sz w:val="28"/>
                <w:szCs w:val="28"/>
              </w:rPr>
            </w:pPr>
            <w:r>
              <w:rPr>
                <w:rFonts w:ascii="Arial" w:hAnsi="Arial" w:eastAsia="仿宋_GB2312" w:cs="Arial"/>
                <w:sz w:val="28"/>
                <w:szCs w:val="28"/>
              </w:rPr>
              <w:t>案件名称</w:t>
            </w:r>
          </w:p>
        </w:tc>
        <w:tc>
          <w:tcPr>
            <w:tcW w:w="6949" w:type="dxa"/>
            <w:gridSpan w:val="2"/>
          </w:tcPr>
          <w:p>
            <w:pPr>
              <w:spacing w:line="500" w:lineRule="exact"/>
              <w:rPr>
                <w:rFonts w:ascii="Arial" w:hAnsi="Arial" w:eastAsia="仿宋_GB2312" w:cs="Arial"/>
                <w:sz w:val="28"/>
                <w:szCs w:val="28"/>
              </w:rPr>
            </w:pPr>
            <w:r>
              <w:rPr>
                <w:rFonts w:hint="eastAsia" w:ascii="Arial" w:hAnsi="Arial" w:eastAsia="仿宋_GB2312" w:cs="Arial"/>
                <w:sz w:val="28"/>
                <w:szCs w:val="28"/>
                <w:lang w:eastAsia="zh-CN"/>
              </w:rPr>
              <w:t>思凯企业管理</w:t>
            </w:r>
            <w:r>
              <w:rPr>
                <w:rFonts w:ascii="Arial" w:hAnsi="Arial" w:eastAsia="仿宋_GB2312" w:cs="Arial"/>
                <w:sz w:val="28"/>
                <w:szCs w:val="28"/>
              </w:rPr>
              <w:t>有限公司</w:t>
            </w:r>
            <w:r>
              <w:rPr>
                <w:rFonts w:hint="eastAsia" w:ascii="Arial" w:hAnsi="Arial" w:eastAsia="仿宋_GB2312" w:cs="Arial"/>
                <w:sz w:val="28"/>
                <w:szCs w:val="28"/>
                <w:lang w:val="en-US" w:eastAsia="zh-CN"/>
              </w:rPr>
              <w:t>收购</w:t>
            </w:r>
            <w:r>
              <w:rPr>
                <w:rFonts w:hint="eastAsia" w:ascii="Arial" w:hAnsi="Arial" w:eastAsia="仿宋_GB2312" w:cs="Arial"/>
                <w:sz w:val="28"/>
                <w:szCs w:val="28"/>
                <w:lang w:eastAsia="zh-CN"/>
              </w:rPr>
              <w:t>内蒙古科尔沁牛业股份有限公司</w:t>
            </w:r>
            <w:r>
              <w:rPr>
                <w:rFonts w:ascii="Arial" w:hAnsi="Arial" w:eastAsia="仿宋_GB2312" w:cs="Arial"/>
                <w:sz w:val="28"/>
                <w:szCs w:val="28"/>
              </w:rPr>
              <w:t>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8D8D8" w:themeFill="background1" w:themeFillShade="D9"/>
          </w:tcPr>
          <w:p>
            <w:pPr>
              <w:spacing w:line="500" w:lineRule="exact"/>
              <w:rPr>
                <w:rFonts w:ascii="Arial" w:hAnsi="Arial" w:eastAsia="仿宋_GB2312" w:cs="Arial"/>
                <w:sz w:val="28"/>
                <w:szCs w:val="28"/>
              </w:rPr>
            </w:pPr>
            <w:r>
              <w:rPr>
                <w:rFonts w:ascii="Arial" w:hAnsi="Arial" w:eastAsia="仿宋_GB2312" w:cs="Arial"/>
                <w:sz w:val="28"/>
                <w:szCs w:val="28"/>
              </w:rPr>
              <w:t>交易概况（限200字内）</w:t>
            </w:r>
          </w:p>
        </w:tc>
        <w:tc>
          <w:tcPr>
            <w:tcW w:w="6949" w:type="dxa"/>
            <w:gridSpan w:val="2"/>
          </w:tcPr>
          <w:p>
            <w:pPr>
              <w:spacing w:line="500" w:lineRule="exact"/>
              <w:rPr>
                <w:rFonts w:ascii="Arial" w:hAnsi="Arial" w:eastAsia="仿宋_GB2312" w:cs="Arial"/>
                <w:sz w:val="28"/>
                <w:szCs w:val="28"/>
              </w:rPr>
            </w:pPr>
            <w:r>
              <w:rPr>
                <w:rFonts w:hint="eastAsia" w:ascii="Arial" w:hAnsi="Arial" w:eastAsia="仿宋_GB2312" w:cs="Arial"/>
                <w:sz w:val="28"/>
                <w:szCs w:val="28"/>
                <w:lang w:eastAsia="zh-CN"/>
              </w:rPr>
              <w:t>思凯企业管理</w:t>
            </w:r>
            <w:r>
              <w:rPr>
                <w:rFonts w:ascii="Arial" w:hAnsi="Arial" w:eastAsia="仿宋_GB2312" w:cs="Arial"/>
                <w:sz w:val="28"/>
                <w:szCs w:val="28"/>
              </w:rPr>
              <w:t>有限公司（下称“</w:t>
            </w:r>
            <w:r>
              <w:rPr>
                <w:rFonts w:hint="eastAsia" w:ascii="Arial" w:hAnsi="Arial" w:eastAsia="仿宋_GB2312" w:cs="Arial"/>
                <w:b/>
                <w:bCs/>
                <w:sz w:val="28"/>
                <w:szCs w:val="28"/>
                <w:lang w:eastAsia="zh-CN"/>
              </w:rPr>
              <w:t>思凯企管</w:t>
            </w:r>
            <w:r>
              <w:rPr>
                <w:rFonts w:ascii="Arial" w:hAnsi="Arial" w:eastAsia="仿宋_GB2312" w:cs="Arial"/>
                <w:sz w:val="28"/>
                <w:szCs w:val="28"/>
              </w:rPr>
              <w:t>”）</w:t>
            </w:r>
            <w:r>
              <w:rPr>
                <w:rFonts w:hint="eastAsia" w:ascii="Arial" w:hAnsi="Arial" w:eastAsia="仿宋_GB2312" w:cs="Arial"/>
                <w:sz w:val="28"/>
                <w:szCs w:val="28"/>
                <w:lang w:val="en-US" w:eastAsia="zh-CN"/>
              </w:rPr>
              <w:t>作为战略投资人，拟</w:t>
            </w:r>
            <w:r>
              <w:rPr>
                <w:rFonts w:hint="eastAsia" w:ascii="Arial" w:hAnsi="Arial" w:eastAsia="仿宋_GB2312" w:cs="Arial"/>
                <w:sz w:val="28"/>
                <w:szCs w:val="28"/>
                <w:lang w:eastAsia="zh-CN"/>
              </w:rPr>
              <w:t>通过《增资和新股认购协议》</w:t>
            </w:r>
            <w:r>
              <w:rPr>
                <w:rFonts w:hint="eastAsia" w:ascii="Arial" w:hAnsi="Arial" w:eastAsia="仿宋_GB2312" w:cs="Arial"/>
                <w:sz w:val="28"/>
                <w:szCs w:val="28"/>
                <w:lang w:val="en-US" w:eastAsia="zh-CN"/>
              </w:rPr>
              <w:t>认购</w:t>
            </w:r>
            <w:r>
              <w:rPr>
                <w:rFonts w:hint="eastAsia" w:ascii="Arial" w:hAnsi="Arial" w:eastAsia="仿宋_GB2312" w:cs="Arial"/>
                <w:sz w:val="28"/>
                <w:szCs w:val="28"/>
                <w:lang w:eastAsia="zh-CN"/>
              </w:rPr>
              <w:t>内蒙古科尔沁牛业股份有限公司</w:t>
            </w:r>
            <w:r>
              <w:rPr>
                <w:rFonts w:ascii="Arial" w:hAnsi="Arial" w:eastAsia="仿宋_GB2312" w:cs="Arial"/>
                <w:sz w:val="28"/>
                <w:szCs w:val="28"/>
              </w:rPr>
              <w:t>（下称“</w:t>
            </w:r>
            <w:r>
              <w:rPr>
                <w:rFonts w:hint="eastAsia" w:ascii="Arial" w:hAnsi="Arial" w:eastAsia="仿宋_GB2312" w:cs="Arial"/>
                <w:b/>
                <w:bCs/>
                <w:sz w:val="28"/>
                <w:szCs w:val="28"/>
                <w:lang w:val="en-US" w:eastAsia="zh-CN"/>
              </w:rPr>
              <w:t>科</w:t>
            </w:r>
            <w:bookmarkStart w:id="0" w:name="_GoBack"/>
            <w:bookmarkEnd w:id="0"/>
            <w:r>
              <w:rPr>
                <w:rFonts w:hint="eastAsia" w:ascii="Arial" w:hAnsi="Arial" w:eastAsia="仿宋_GB2312" w:cs="Arial"/>
                <w:b/>
                <w:bCs/>
                <w:sz w:val="28"/>
                <w:szCs w:val="28"/>
                <w:lang w:val="en-US" w:eastAsia="zh-CN"/>
              </w:rPr>
              <w:t>尔沁牛业</w:t>
            </w:r>
            <w:r>
              <w:rPr>
                <w:rFonts w:ascii="Arial" w:hAnsi="Arial" w:eastAsia="仿宋_GB2312" w:cs="Arial"/>
                <w:sz w:val="28"/>
                <w:szCs w:val="28"/>
              </w:rPr>
              <w:t>”）10%的股份</w:t>
            </w:r>
            <w:r>
              <w:rPr>
                <w:rFonts w:hint="eastAsia" w:ascii="Arial" w:hAnsi="Arial" w:eastAsia="仿宋_GB2312" w:cs="Arial"/>
                <w:sz w:val="28"/>
                <w:szCs w:val="28"/>
                <w:lang w:eastAsia="zh-CN"/>
              </w:rPr>
              <w:t>，</w:t>
            </w:r>
            <w:r>
              <w:rPr>
                <w:rFonts w:hint="eastAsia" w:ascii="Arial" w:hAnsi="Arial" w:eastAsia="仿宋_GB2312" w:cs="Arial"/>
                <w:sz w:val="28"/>
                <w:szCs w:val="28"/>
                <w:lang w:val="en-US" w:eastAsia="zh-CN"/>
              </w:rPr>
              <w:t>并通过委派高管人员和对科尔沁牛业未来战略发展计划、经营计划、对外投资和并购等领域的影响权，取得对科尔沁牛业的消极控制权。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8D8D8" w:themeFill="background1" w:themeFillShade="D9"/>
          </w:tcPr>
          <w:p>
            <w:pPr>
              <w:spacing w:line="500" w:lineRule="exact"/>
              <w:rPr>
                <w:rFonts w:ascii="Arial" w:hAnsi="Arial" w:eastAsia="仿宋_GB2312" w:cs="Arial"/>
                <w:sz w:val="28"/>
                <w:szCs w:val="28"/>
              </w:rPr>
            </w:pPr>
            <w:r>
              <w:rPr>
                <w:rFonts w:ascii="Arial" w:hAnsi="Arial" w:eastAsia="仿宋_GB2312" w:cs="Arial"/>
                <w:sz w:val="28"/>
                <w:szCs w:val="28"/>
              </w:rPr>
              <w:t>参与集中的经营者简介</w:t>
            </w:r>
          </w:p>
        </w:tc>
        <w:tc>
          <w:tcPr>
            <w:tcW w:w="1796" w:type="dxa"/>
          </w:tcPr>
          <w:p>
            <w:pPr>
              <w:pStyle w:val="13"/>
              <w:numPr>
                <w:ilvl w:val="0"/>
                <w:numId w:val="1"/>
              </w:numPr>
              <w:spacing w:line="500" w:lineRule="exact"/>
              <w:ind w:firstLineChars="0"/>
              <w:rPr>
                <w:rFonts w:ascii="Arial" w:hAnsi="Arial" w:eastAsia="仿宋_GB2312" w:cs="Arial"/>
                <w:sz w:val="28"/>
                <w:szCs w:val="28"/>
              </w:rPr>
            </w:pPr>
            <w:r>
              <w:rPr>
                <w:rFonts w:hint="eastAsia" w:ascii="Arial" w:hAnsi="Arial" w:eastAsia="仿宋_GB2312" w:cs="Arial"/>
                <w:sz w:val="28"/>
                <w:szCs w:val="28"/>
                <w:lang w:eastAsia="zh-CN"/>
              </w:rPr>
              <w:t>思凯</w:t>
            </w:r>
            <w:r>
              <w:rPr>
                <w:rFonts w:hint="eastAsia" w:ascii="Arial" w:hAnsi="Arial" w:eastAsia="仿宋_GB2312" w:cs="Arial"/>
                <w:sz w:val="28"/>
                <w:szCs w:val="28"/>
                <w:lang w:val="en-US" w:eastAsia="zh-CN"/>
              </w:rPr>
              <w:t>企管</w:t>
            </w:r>
          </w:p>
        </w:tc>
        <w:tc>
          <w:tcPr>
            <w:tcW w:w="5153" w:type="dxa"/>
          </w:tcPr>
          <w:p>
            <w:pPr>
              <w:widowControl/>
              <w:numPr>
                <w:ilvl w:val="0"/>
                <w:numId w:val="0"/>
              </w:numPr>
              <w:snapToGrid w:val="0"/>
              <w:ind w:leftChars="0"/>
              <w:jc w:val="left"/>
              <w:rPr>
                <w:rFonts w:ascii="Arial" w:hAnsi="Arial" w:eastAsia="仿宋_GB2312" w:cs="Arial"/>
                <w:sz w:val="28"/>
                <w:szCs w:val="28"/>
              </w:rPr>
            </w:pPr>
            <w:r>
              <w:rPr>
                <w:rFonts w:ascii="Arial" w:hAnsi="Arial" w:eastAsia="仿宋_GB2312" w:cs="Arial"/>
                <w:sz w:val="28"/>
                <w:szCs w:val="28"/>
              </w:rPr>
              <w:t>一家依据</w:t>
            </w:r>
            <w:r>
              <w:rPr>
                <w:rFonts w:hint="eastAsia" w:ascii="Arial" w:hAnsi="Arial" w:eastAsia="仿宋_GB2312" w:cs="Arial"/>
                <w:sz w:val="28"/>
                <w:szCs w:val="28"/>
                <w:lang w:eastAsia="zh-CN"/>
              </w:rPr>
              <w:t>中国</w:t>
            </w:r>
            <w:r>
              <w:rPr>
                <w:rFonts w:ascii="Arial" w:hAnsi="Arial" w:eastAsia="仿宋_GB2312" w:cs="Arial"/>
                <w:sz w:val="28"/>
                <w:szCs w:val="28"/>
              </w:rPr>
              <w:t>法律设立和存续的有限责任公司</w:t>
            </w:r>
            <w:r>
              <w:rPr>
                <w:rFonts w:hint="eastAsia" w:ascii="Arial" w:hAnsi="Arial" w:eastAsia="仿宋_GB2312" w:cs="Arial"/>
                <w:sz w:val="28"/>
                <w:szCs w:val="28"/>
                <w:lang w:eastAsia="zh-CN"/>
              </w:rPr>
              <w:t>。</w:t>
            </w:r>
            <w:r>
              <w:rPr>
                <w:rFonts w:hint="eastAsia" w:ascii="Arial" w:hAnsi="Arial" w:eastAsia="仿宋_GB2312" w:cs="Arial"/>
                <w:sz w:val="28"/>
                <w:szCs w:val="28"/>
                <w:lang w:val="en-US" w:eastAsia="zh-CN"/>
              </w:rPr>
              <w:t>主营业务：</w:t>
            </w:r>
            <w:r>
              <w:rPr>
                <w:rFonts w:hint="eastAsia" w:ascii="Arial" w:hAnsi="Arial" w:eastAsia="仿宋_GB2312" w:cs="Arial"/>
                <w:sz w:val="28"/>
                <w:szCs w:val="28"/>
              </w:rPr>
              <w:t>企业管理；经济贸易信息咨询；投资咨询；企业管理咨询；物业管理；会议服务；技术开发、技术推广、技术服务。</w:t>
            </w:r>
            <w:r>
              <w:rPr>
                <w:rFonts w:hint="eastAsia" w:ascii="Arial" w:hAnsi="Arial" w:eastAsia="仿宋_GB2312" w:cs="Arial"/>
                <w:sz w:val="28"/>
                <w:szCs w:val="28"/>
                <w:lang w:val="en-US" w:eastAsia="zh-CN"/>
              </w:rPr>
              <w:t>思凯企管及其关联企业在本交易前从未从事过牛肉行业的生产和经营。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8D8D8" w:themeFill="background1" w:themeFillShade="D9"/>
          </w:tcPr>
          <w:p>
            <w:pPr>
              <w:spacing w:line="500" w:lineRule="exact"/>
              <w:rPr>
                <w:rFonts w:ascii="Arial" w:hAnsi="Arial" w:eastAsia="仿宋_GB2312" w:cs="Arial"/>
                <w:sz w:val="28"/>
                <w:szCs w:val="28"/>
              </w:rPr>
            </w:pPr>
          </w:p>
        </w:tc>
        <w:tc>
          <w:tcPr>
            <w:tcW w:w="1796" w:type="dxa"/>
          </w:tcPr>
          <w:p>
            <w:pPr>
              <w:pStyle w:val="13"/>
              <w:numPr>
                <w:ilvl w:val="0"/>
                <w:numId w:val="1"/>
              </w:numPr>
              <w:spacing w:line="500" w:lineRule="exact"/>
              <w:ind w:firstLineChars="0"/>
              <w:rPr>
                <w:rFonts w:ascii="Arial" w:hAnsi="Arial" w:eastAsia="仿宋_GB2312" w:cs="Arial"/>
                <w:sz w:val="28"/>
                <w:szCs w:val="28"/>
              </w:rPr>
            </w:pPr>
            <w:r>
              <w:rPr>
                <w:rFonts w:hint="eastAsia" w:ascii="Arial" w:hAnsi="Arial" w:eastAsia="仿宋_GB2312" w:cs="Arial"/>
                <w:sz w:val="28"/>
                <w:szCs w:val="28"/>
                <w:lang w:val="en-US" w:eastAsia="zh-CN"/>
              </w:rPr>
              <w:t>科尔沁牛业</w:t>
            </w:r>
          </w:p>
        </w:tc>
        <w:tc>
          <w:tcPr>
            <w:tcW w:w="5153" w:type="dxa"/>
          </w:tcPr>
          <w:p>
            <w:pPr>
              <w:spacing w:line="500" w:lineRule="exact"/>
              <w:rPr>
                <w:rFonts w:ascii="Arial" w:hAnsi="Arial" w:eastAsia="仿宋_GB2312" w:cs="Arial"/>
                <w:sz w:val="28"/>
                <w:szCs w:val="28"/>
              </w:rPr>
            </w:pPr>
            <w:r>
              <w:rPr>
                <w:rFonts w:ascii="Arial" w:hAnsi="Arial" w:eastAsia="仿宋_GB2312" w:cs="Arial"/>
                <w:sz w:val="28"/>
                <w:szCs w:val="28"/>
              </w:rPr>
              <w:t>一家依据</w:t>
            </w:r>
            <w:r>
              <w:rPr>
                <w:rFonts w:hint="eastAsia" w:ascii="Arial" w:hAnsi="Arial" w:eastAsia="仿宋_GB2312" w:cs="Arial"/>
                <w:sz w:val="28"/>
                <w:szCs w:val="28"/>
                <w:lang w:eastAsia="zh-CN"/>
              </w:rPr>
              <w:t>中国</w:t>
            </w:r>
            <w:r>
              <w:rPr>
                <w:rFonts w:ascii="Arial" w:hAnsi="Arial" w:eastAsia="仿宋_GB2312" w:cs="Arial"/>
                <w:sz w:val="28"/>
                <w:szCs w:val="28"/>
              </w:rPr>
              <w:t>法律设立和存续的有限责任公司。</w:t>
            </w:r>
            <w:r>
              <w:rPr>
                <w:rFonts w:hint="eastAsia" w:ascii="Arial" w:hAnsi="Arial" w:eastAsia="仿宋_GB2312" w:cs="Arial"/>
                <w:sz w:val="28"/>
                <w:szCs w:val="28"/>
                <w:lang w:val="en-US" w:eastAsia="zh-CN"/>
              </w:rPr>
              <w:t>主营业务：</w:t>
            </w:r>
            <w:r>
              <w:rPr>
                <w:rFonts w:hint="eastAsia" w:ascii="Arial" w:hAnsi="Arial" w:eastAsia="仿宋_GB2312" w:cs="Arial"/>
                <w:sz w:val="28"/>
                <w:szCs w:val="28"/>
                <w:lang w:eastAsia="zh-CN"/>
              </w:rPr>
              <w:t>牛肉及其制成品的生产和销售。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8D8D8" w:themeFill="background1" w:themeFillShade="D9"/>
          </w:tcPr>
          <w:p>
            <w:pPr>
              <w:spacing w:line="500" w:lineRule="exact"/>
              <w:rPr>
                <w:rFonts w:ascii="Arial" w:hAnsi="Arial" w:eastAsia="仿宋_GB2312" w:cs="Arial"/>
                <w:sz w:val="28"/>
                <w:szCs w:val="28"/>
              </w:rPr>
            </w:pPr>
            <w:r>
              <w:rPr>
                <w:rFonts w:ascii="Arial" w:hAnsi="Arial" w:eastAsia="仿宋_GB2312" w:cs="Arial"/>
                <w:sz w:val="28"/>
                <w:szCs w:val="28"/>
              </w:rPr>
              <w:t>简易案件理由（可多选）</w:t>
            </w:r>
          </w:p>
        </w:tc>
        <w:tc>
          <w:tcPr>
            <w:tcW w:w="6949" w:type="dxa"/>
            <w:gridSpan w:val="2"/>
          </w:tcPr>
          <w:p>
            <w:pPr>
              <w:spacing w:line="500" w:lineRule="exact"/>
              <w:rPr>
                <w:rFonts w:ascii="Arial" w:hAnsi="Arial" w:eastAsia="仿宋_GB2312" w:cs="Arial"/>
                <w:sz w:val="28"/>
                <w:szCs w:val="28"/>
              </w:rPr>
            </w:pPr>
            <w:r>
              <w:rPr>
                <w:rFonts w:ascii="Arial" w:hAnsi="Arial" w:eastAsia="仿宋_GB2312" w:cs="Arial"/>
                <w:sz w:val="28"/>
                <w:szCs w:val="28"/>
              </w:rPr>
              <w:sym w:font="Wingdings" w:char="F0A8"/>
            </w:r>
            <w:r>
              <w:rPr>
                <w:rFonts w:ascii="Arial" w:hAnsi="Arial" w:eastAsia="仿宋_GB2312" w:cs="Arial"/>
                <w:sz w:val="28"/>
                <w:szCs w:val="28"/>
              </w:rPr>
              <w:t>1. 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8D8D8" w:themeFill="background1" w:themeFillShade="D9"/>
          </w:tcPr>
          <w:p>
            <w:pPr>
              <w:spacing w:line="500" w:lineRule="exact"/>
              <w:rPr>
                <w:rFonts w:ascii="Arial" w:hAnsi="Arial" w:eastAsia="仿宋_GB2312" w:cs="Arial"/>
                <w:sz w:val="28"/>
                <w:szCs w:val="28"/>
              </w:rPr>
            </w:pPr>
          </w:p>
        </w:tc>
        <w:tc>
          <w:tcPr>
            <w:tcW w:w="6949" w:type="dxa"/>
            <w:gridSpan w:val="2"/>
          </w:tcPr>
          <w:p>
            <w:pPr>
              <w:spacing w:line="500" w:lineRule="exact"/>
              <w:rPr>
                <w:rFonts w:ascii="Arial" w:hAnsi="Arial" w:eastAsia="仿宋_GB2312" w:cs="Arial"/>
                <w:sz w:val="28"/>
                <w:szCs w:val="28"/>
              </w:rPr>
            </w:pPr>
            <w:r>
              <w:rPr>
                <w:rFonts w:ascii="Arial" w:hAnsi="Arial" w:eastAsia="仿宋_GB2312" w:cs="Arial"/>
                <w:sz w:val="28"/>
                <w:szCs w:val="28"/>
              </w:rPr>
              <w:sym w:font="Wingdings" w:char="F0A8"/>
            </w:r>
            <w:r>
              <w:rPr>
                <w:rFonts w:ascii="Arial" w:hAnsi="Arial" w:eastAsia="仿宋_GB2312" w:cs="Arial"/>
                <w:sz w:val="28"/>
                <w:szCs w:val="28"/>
              </w:rPr>
              <w:t>2. 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8D8D8" w:themeFill="background1" w:themeFillShade="D9"/>
          </w:tcPr>
          <w:p>
            <w:pPr>
              <w:spacing w:line="500" w:lineRule="exact"/>
              <w:rPr>
                <w:rFonts w:ascii="Arial" w:hAnsi="Arial" w:eastAsia="仿宋_GB2312" w:cs="Arial"/>
                <w:sz w:val="28"/>
                <w:szCs w:val="28"/>
              </w:rPr>
            </w:pPr>
          </w:p>
        </w:tc>
        <w:tc>
          <w:tcPr>
            <w:tcW w:w="6949" w:type="dxa"/>
            <w:gridSpan w:val="2"/>
          </w:tcPr>
          <w:p>
            <w:pPr>
              <w:spacing w:line="500" w:lineRule="exact"/>
              <w:rPr>
                <w:rFonts w:ascii="Arial" w:hAnsi="Arial" w:eastAsia="仿宋_GB2312" w:cs="Arial"/>
                <w:sz w:val="28"/>
                <w:szCs w:val="28"/>
              </w:rPr>
            </w:pPr>
            <w:r>
              <w:rPr>
                <w:rFonts w:ascii="Arial" w:hAnsi="Arial" w:eastAsia="仿宋_GB2312" w:cs="Arial"/>
                <w:sz w:val="28"/>
                <w:szCs w:val="28"/>
              </w:rPr>
              <w:sym w:font="Wingdings" w:char="F0FE"/>
            </w:r>
            <w:r>
              <w:rPr>
                <w:rFonts w:ascii="Arial" w:hAnsi="Arial" w:eastAsia="仿宋_GB2312" w:cs="Arial"/>
                <w:sz w:val="28"/>
                <w:szCs w:val="28"/>
              </w:rPr>
              <w:t>3. 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870" w:hRule="atLeast"/>
        </w:trPr>
        <w:tc>
          <w:tcPr>
            <w:tcW w:w="1809" w:type="dxa"/>
            <w:vMerge w:val="continue"/>
            <w:shd w:val="clear" w:color="auto" w:fill="D8D8D8" w:themeFill="background1" w:themeFillShade="D9"/>
          </w:tcPr>
          <w:p>
            <w:pPr>
              <w:spacing w:line="500" w:lineRule="exact"/>
              <w:rPr>
                <w:rFonts w:ascii="Arial" w:hAnsi="Arial" w:eastAsia="仿宋_GB2312" w:cs="Arial"/>
                <w:sz w:val="28"/>
                <w:szCs w:val="28"/>
              </w:rPr>
            </w:pPr>
          </w:p>
        </w:tc>
        <w:tc>
          <w:tcPr>
            <w:tcW w:w="6949" w:type="dxa"/>
            <w:gridSpan w:val="2"/>
          </w:tcPr>
          <w:p>
            <w:pPr>
              <w:spacing w:line="500" w:lineRule="exact"/>
              <w:rPr>
                <w:rFonts w:ascii="Arial" w:hAnsi="Arial" w:eastAsia="仿宋_GB2312" w:cs="Arial"/>
                <w:sz w:val="28"/>
                <w:szCs w:val="28"/>
              </w:rPr>
            </w:pPr>
            <w:r>
              <w:rPr>
                <w:rFonts w:ascii="Arial" w:hAnsi="Arial" w:eastAsia="仿宋_GB2312" w:cs="Arial"/>
                <w:sz w:val="28"/>
                <w:szCs w:val="28"/>
              </w:rPr>
              <w:sym w:font="Wingdings" w:char="F0A8"/>
            </w:r>
            <w:r>
              <w:rPr>
                <w:rFonts w:ascii="Arial" w:hAnsi="Arial" w:eastAsia="仿宋_GB2312" w:cs="Arial"/>
                <w:sz w:val="28"/>
                <w:szCs w:val="28"/>
              </w:rPr>
              <w:t>4. 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8D8D8" w:themeFill="background1" w:themeFillShade="D9"/>
          </w:tcPr>
          <w:p>
            <w:pPr>
              <w:spacing w:line="500" w:lineRule="exact"/>
              <w:rPr>
                <w:rFonts w:ascii="Arial" w:hAnsi="Arial" w:eastAsia="仿宋_GB2312" w:cs="Arial"/>
                <w:sz w:val="28"/>
                <w:szCs w:val="28"/>
              </w:rPr>
            </w:pPr>
          </w:p>
        </w:tc>
        <w:tc>
          <w:tcPr>
            <w:tcW w:w="6949" w:type="dxa"/>
            <w:gridSpan w:val="2"/>
          </w:tcPr>
          <w:p>
            <w:pPr>
              <w:spacing w:line="500" w:lineRule="exact"/>
              <w:rPr>
                <w:rFonts w:ascii="Arial" w:hAnsi="Arial" w:eastAsia="仿宋_GB2312" w:cs="Arial"/>
                <w:sz w:val="28"/>
                <w:szCs w:val="28"/>
              </w:rPr>
            </w:pPr>
            <w:r>
              <w:rPr>
                <w:rFonts w:ascii="Arial" w:hAnsi="Arial" w:eastAsia="仿宋_GB2312" w:cs="Arial"/>
                <w:sz w:val="28"/>
                <w:szCs w:val="28"/>
              </w:rPr>
              <w:sym w:font="Wingdings" w:char="F0A8"/>
            </w:r>
            <w:r>
              <w:rPr>
                <w:rFonts w:ascii="Arial" w:hAnsi="Arial" w:eastAsia="仿宋_GB2312" w:cs="Arial"/>
                <w:sz w:val="28"/>
                <w:szCs w:val="28"/>
              </w:rPr>
              <w:t>5. 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8D8D8" w:themeFill="background1" w:themeFillShade="D9"/>
          </w:tcPr>
          <w:p>
            <w:pPr>
              <w:spacing w:line="500" w:lineRule="exact"/>
              <w:rPr>
                <w:rFonts w:ascii="Arial" w:hAnsi="Arial" w:eastAsia="仿宋_GB2312" w:cs="Arial"/>
                <w:sz w:val="28"/>
                <w:szCs w:val="28"/>
              </w:rPr>
            </w:pPr>
          </w:p>
        </w:tc>
        <w:tc>
          <w:tcPr>
            <w:tcW w:w="6949" w:type="dxa"/>
            <w:gridSpan w:val="2"/>
          </w:tcPr>
          <w:p>
            <w:pPr>
              <w:spacing w:line="500" w:lineRule="exact"/>
              <w:rPr>
                <w:rFonts w:ascii="Arial" w:hAnsi="Arial" w:eastAsia="仿宋_GB2312" w:cs="Arial"/>
                <w:sz w:val="28"/>
                <w:szCs w:val="28"/>
              </w:rPr>
            </w:pPr>
            <w:r>
              <w:rPr>
                <w:rFonts w:ascii="Arial" w:hAnsi="Arial" w:eastAsia="仿宋_GB2312" w:cs="Arial"/>
                <w:sz w:val="28"/>
                <w:szCs w:val="28"/>
              </w:rPr>
              <w:sym w:font="Wingdings" w:char="F0A8"/>
            </w:r>
            <w:r>
              <w:rPr>
                <w:rFonts w:ascii="Arial" w:hAnsi="Arial" w:eastAsia="仿宋_GB2312" w:cs="Arial"/>
                <w:sz w:val="28"/>
                <w:szCs w:val="28"/>
              </w:rPr>
              <w:t>6. 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799" w:hRule="atLeast"/>
        </w:trPr>
        <w:tc>
          <w:tcPr>
            <w:tcW w:w="1809" w:type="dxa"/>
            <w:shd w:val="clear" w:color="auto" w:fill="D8D8D8" w:themeFill="background1" w:themeFillShade="D9"/>
          </w:tcPr>
          <w:p>
            <w:pPr>
              <w:spacing w:line="500" w:lineRule="exact"/>
              <w:rPr>
                <w:rFonts w:ascii="Arial" w:hAnsi="Arial" w:eastAsia="仿宋_GB2312" w:cs="Arial"/>
                <w:sz w:val="28"/>
                <w:szCs w:val="28"/>
              </w:rPr>
            </w:pPr>
            <w:r>
              <w:rPr>
                <w:rFonts w:ascii="Arial" w:hAnsi="Arial" w:eastAsia="仿宋_GB2312" w:cs="Arial"/>
                <w:sz w:val="28"/>
                <w:szCs w:val="28"/>
              </w:rPr>
              <w:t>备注</w:t>
            </w:r>
          </w:p>
        </w:tc>
        <w:tc>
          <w:tcPr>
            <w:tcW w:w="6949" w:type="dxa"/>
            <w:gridSpan w:val="2"/>
          </w:tcPr>
          <w:p>
            <w:pPr>
              <w:pStyle w:val="13"/>
              <w:numPr>
                <w:ilvl w:val="0"/>
                <w:numId w:val="2"/>
              </w:numPr>
              <w:spacing w:line="500" w:lineRule="exact"/>
              <w:ind w:firstLineChars="0"/>
              <w:rPr>
                <w:rFonts w:ascii="Arial" w:hAnsi="Arial" w:eastAsia="仿宋_GB2312" w:cs="Arial"/>
                <w:sz w:val="28"/>
                <w:szCs w:val="28"/>
              </w:rPr>
            </w:pPr>
            <w:r>
              <w:rPr>
                <w:rFonts w:ascii="Arial" w:hAnsi="Arial" w:eastAsia="仿宋_GB2312" w:cs="Arial"/>
                <w:sz w:val="28"/>
                <w:szCs w:val="28"/>
              </w:rPr>
              <w:t>相关产品市场：</w:t>
            </w:r>
          </w:p>
          <w:p>
            <w:pPr>
              <w:pStyle w:val="13"/>
              <w:numPr>
                <w:ilvl w:val="0"/>
                <w:numId w:val="3"/>
              </w:numPr>
              <w:spacing w:line="500" w:lineRule="exact"/>
              <w:ind w:left="420" w:leftChars="0" w:hanging="420" w:firstLineChars="0"/>
              <w:rPr>
                <w:rFonts w:ascii="Arial" w:hAnsi="Arial" w:eastAsia="仿宋_GB2312" w:cs="Arial"/>
                <w:sz w:val="28"/>
                <w:szCs w:val="28"/>
              </w:rPr>
            </w:pPr>
            <w:r>
              <w:rPr>
                <w:rFonts w:hint="eastAsia" w:ascii="Arial" w:hAnsi="Arial" w:eastAsia="仿宋_GB2312" w:cs="Arial"/>
                <w:sz w:val="28"/>
                <w:szCs w:val="28"/>
                <w:lang w:eastAsia="zh-CN"/>
              </w:rPr>
              <w:t>冷鲜牛肉的生产和供应</w:t>
            </w:r>
            <w:r>
              <w:rPr>
                <w:rFonts w:ascii="Arial" w:hAnsi="Arial" w:eastAsia="仿宋_GB2312" w:cs="Arial"/>
                <w:sz w:val="28"/>
                <w:szCs w:val="28"/>
              </w:rPr>
              <w:t>市场；</w:t>
            </w:r>
          </w:p>
          <w:p>
            <w:pPr>
              <w:pStyle w:val="13"/>
              <w:numPr>
                <w:ilvl w:val="0"/>
                <w:numId w:val="3"/>
              </w:numPr>
              <w:spacing w:line="500" w:lineRule="exact"/>
              <w:ind w:left="420" w:leftChars="0" w:hanging="420" w:firstLineChars="0"/>
              <w:rPr>
                <w:rFonts w:ascii="Arial" w:hAnsi="Arial" w:eastAsia="仿宋_GB2312" w:cs="Arial"/>
                <w:sz w:val="28"/>
                <w:szCs w:val="28"/>
              </w:rPr>
            </w:pPr>
            <w:r>
              <w:rPr>
                <w:rFonts w:hint="eastAsia" w:ascii="Arial" w:hAnsi="Arial" w:eastAsia="仿宋_GB2312" w:cs="Arial"/>
                <w:sz w:val="28"/>
                <w:szCs w:val="28"/>
                <w:lang w:eastAsia="zh-CN"/>
              </w:rPr>
              <w:t>冷冻牛肉的生产和供应市场</w:t>
            </w:r>
          </w:p>
          <w:p>
            <w:pPr>
              <w:pStyle w:val="13"/>
              <w:numPr>
                <w:ilvl w:val="0"/>
                <w:numId w:val="2"/>
              </w:numPr>
              <w:spacing w:line="500" w:lineRule="exact"/>
              <w:ind w:firstLineChars="0"/>
              <w:rPr>
                <w:rFonts w:ascii="Arial" w:hAnsi="Arial" w:eastAsia="仿宋_GB2312" w:cs="Arial"/>
                <w:sz w:val="28"/>
                <w:szCs w:val="28"/>
              </w:rPr>
            </w:pPr>
            <w:r>
              <w:rPr>
                <w:rFonts w:ascii="Arial" w:hAnsi="Arial" w:eastAsia="仿宋_GB2312" w:cs="Arial"/>
                <w:sz w:val="28"/>
                <w:szCs w:val="28"/>
              </w:rPr>
              <w:t>相关地域市场：中国；</w:t>
            </w:r>
          </w:p>
          <w:p>
            <w:pPr>
              <w:pStyle w:val="13"/>
              <w:numPr>
                <w:ilvl w:val="0"/>
                <w:numId w:val="2"/>
              </w:numPr>
              <w:spacing w:line="500" w:lineRule="exact"/>
              <w:ind w:firstLineChars="0"/>
              <w:rPr>
                <w:rFonts w:ascii="Arial" w:hAnsi="Arial" w:eastAsia="仿宋_GB2312" w:cs="Arial"/>
                <w:sz w:val="28"/>
                <w:szCs w:val="28"/>
              </w:rPr>
            </w:pPr>
            <w:r>
              <w:rPr>
                <w:rFonts w:ascii="Arial" w:hAnsi="Arial" w:eastAsia="仿宋_GB2312" w:cs="Arial"/>
                <w:sz w:val="28"/>
                <w:szCs w:val="28"/>
              </w:rPr>
              <w:t>相关市场份额：</w:t>
            </w:r>
          </w:p>
          <w:p>
            <w:pPr>
              <w:pStyle w:val="13"/>
              <w:numPr>
                <w:ilvl w:val="0"/>
                <w:numId w:val="4"/>
              </w:numPr>
              <w:spacing w:line="500" w:lineRule="exact"/>
              <w:ind w:left="420" w:leftChars="0" w:hanging="420" w:firstLineChars="0"/>
              <w:rPr>
                <w:rFonts w:ascii="Arial" w:hAnsi="Arial" w:eastAsia="仿宋_GB2312" w:cs="Arial"/>
                <w:sz w:val="28"/>
                <w:szCs w:val="28"/>
              </w:rPr>
            </w:pPr>
            <w:r>
              <w:rPr>
                <w:rFonts w:hint="eastAsia" w:ascii="Arial" w:hAnsi="Arial" w:eastAsia="仿宋_GB2312" w:cs="Arial"/>
                <w:sz w:val="28"/>
                <w:szCs w:val="28"/>
                <w:lang w:eastAsia="zh-CN"/>
              </w:rPr>
              <w:t>冷鲜牛肉的生产和供应</w:t>
            </w:r>
            <w:r>
              <w:rPr>
                <w:rFonts w:ascii="Arial" w:hAnsi="Arial" w:eastAsia="仿宋_GB2312" w:cs="Arial"/>
                <w:sz w:val="28"/>
                <w:szCs w:val="28"/>
              </w:rPr>
              <w:t>市场</w:t>
            </w:r>
            <w:r>
              <w:rPr>
                <w:rFonts w:hint="eastAsia" w:ascii="Arial" w:hAnsi="Arial" w:eastAsia="仿宋_GB2312" w:cs="Arial"/>
                <w:sz w:val="28"/>
                <w:szCs w:val="28"/>
                <w:lang w:eastAsia="zh-CN"/>
              </w:rPr>
              <w:t>：</w:t>
            </w:r>
          </w:p>
          <w:p>
            <w:pPr>
              <w:pStyle w:val="13"/>
              <w:numPr>
                <w:ilvl w:val="0"/>
                <w:numId w:val="0"/>
              </w:numPr>
              <w:spacing w:line="500" w:lineRule="exact"/>
              <w:ind w:leftChars="0"/>
              <w:rPr>
                <w:rFonts w:ascii="Arial" w:hAnsi="Arial" w:eastAsia="仿宋_GB2312" w:cs="Arial"/>
                <w:sz w:val="28"/>
                <w:szCs w:val="28"/>
              </w:rPr>
            </w:pPr>
            <w:r>
              <w:rPr>
                <w:rFonts w:hint="eastAsia" w:ascii="Arial" w:hAnsi="Arial" w:eastAsia="仿宋_GB2312" w:cs="Arial"/>
                <w:sz w:val="28"/>
                <w:szCs w:val="28"/>
                <w:lang w:val="en-US" w:eastAsia="zh-CN"/>
              </w:rPr>
              <w:t>思凯企管：[0%] 、科尔沁牛业</w:t>
            </w:r>
            <w:r>
              <w:rPr>
                <w:rFonts w:hint="eastAsia" w:ascii="Arial" w:hAnsi="Arial" w:eastAsia="仿宋_GB2312" w:cs="Arial"/>
                <w:sz w:val="28"/>
                <w:szCs w:val="28"/>
              </w:rPr>
              <w:t>[0-</w:t>
            </w:r>
            <w:r>
              <w:rPr>
                <w:rFonts w:hint="eastAsia" w:ascii="Arial" w:hAnsi="Arial" w:eastAsia="仿宋_GB2312" w:cs="Arial"/>
                <w:sz w:val="28"/>
                <w:szCs w:val="28"/>
                <w:lang w:val="en-US" w:eastAsia="zh-CN"/>
              </w:rPr>
              <w:t>5</w:t>
            </w:r>
            <w:r>
              <w:rPr>
                <w:rFonts w:hint="eastAsia" w:ascii="Arial" w:hAnsi="Arial" w:eastAsia="仿宋_GB2312" w:cs="Arial"/>
                <w:sz w:val="28"/>
                <w:szCs w:val="28"/>
              </w:rPr>
              <w:t>]%</w:t>
            </w:r>
          </w:p>
          <w:p>
            <w:pPr>
              <w:pStyle w:val="13"/>
              <w:numPr>
                <w:ilvl w:val="0"/>
                <w:numId w:val="4"/>
              </w:numPr>
              <w:spacing w:line="500" w:lineRule="exact"/>
              <w:ind w:left="420" w:leftChars="0" w:hanging="420" w:firstLineChars="0"/>
              <w:rPr>
                <w:rFonts w:ascii="Arial" w:hAnsi="Arial" w:eastAsia="仿宋_GB2312" w:cs="Arial"/>
                <w:sz w:val="28"/>
                <w:szCs w:val="28"/>
              </w:rPr>
            </w:pPr>
            <w:r>
              <w:rPr>
                <w:rFonts w:hint="eastAsia" w:ascii="Arial" w:hAnsi="Arial" w:eastAsia="仿宋_GB2312" w:cs="Arial"/>
                <w:sz w:val="28"/>
                <w:szCs w:val="28"/>
                <w:lang w:eastAsia="zh-CN"/>
              </w:rPr>
              <w:t>冷冻牛肉的生产和供应市场：</w:t>
            </w:r>
          </w:p>
          <w:p>
            <w:pPr>
              <w:pStyle w:val="13"/>
              <w:numPr>
                <w:ilvl w:val="0"/>
                <w:numId w:val="0"/>
              </w:numPr>
              <w:spacing w:line="500" w:lineRule="exact"/>
              <w:ind w:leftChars="0"/>
              <w:rPr>
                <w:rFonts w:ascii="Arial" w:hAnsi="Arial" w:eastAsia="仿宋_GB2312" w:cs="Arial"/>
                <w:sz w:val="28"/>
                <w:szCs w:val="28"/>
              </w:rPr>
            </w:pPr>
            <w:r>
              <w:rPr>
                <w:rFonts w:hint="eastAsia" w:ascii="Arial" w:hAnsi="Arial" w:eastAsia="仿宋_GB2312" w:cs="Arial"/>
                <w:sz w:val="28"/>
                <w:szCs w:val="28"/>
                <w:lang w:val="en-US" w:eastAsia="zh-CN"/>
              </w:rPr>
              <w:t>思凯企管：[0%] 、科尔沁牛业</w:t>
            </w:r>
            <w:r>
              <w:rPr>
                <w:rFonts w:hint="eastAsia" w:ascii="Arial" w:hAnsi="Arial" w:eastAsia="仿宋_GB2312" w:cs="Arial"/>
                <w:sz w:val="28"/>
                <w:szCs w:val="28"/>
              </w:rPr>
              <w:t>[0-</w:t>
            </w:r>
            <w:r>
              <w:rPr>
                <w:rFonts w:hint="eastAsia" w:ascii="Arial" w:hAnsi="Arial" w:eastAsia="仿宋_GB2312" w:cs="Arial"/>
                <w:sz w:val="28"/>
                <w:szCs w:val="28"/>
                <w:lang w:val="en-US" w:eastAsia="zh-CN"/>
              </w:rPr>
              <w:t>5</w:t>
            </w:r>
            <w:r>
              <w:rPr>
                <w:rFonts w:hint="eastAsia" w:ascii="Arial" w:hAnsi="Arial" w:eastAsia="仿宋_GB2312" w:cs="Arial"/>
                <w:sz w:val="28"/>
                <w:szCs w:val="28"/>
              </w:rPr>
              <w:t>]%</w:t>
            </w:r>
          </w:p>
          <w:p>
            <w:pPr>
              <w:pStyle w:val="13"/>
              <w:numPr>
                <w:ilvl w:val="0"/>
                <w:numId w:val="2"/>
              </w:numPr>
              <w:spacing w:line="500" w:lineRule="exact"/>
              <w:ind w:firstLineChars="0"/>
              <w:rPr>
                <w:rFonts w:ascii="Arial" w:hAnsi="Arial" w:eastAsia="仿宋_GB2312" w:cs="Arial"/>
                <w:sz w:val="28"/>
                <w:szCs w:val="28"/>
              </w:rPr>
            </w:pPr>
            <w:r>
              <w:rPr>
                <w:rFonts w:hint="eastAsia" w:ascii="Arial" w:hAnsi="Arial" w:eastAsia="仿宋_GB2312" w:cs="Arial"/>
                <w:sz w:val="28"/>
                <w:szCs w:val="28"/>
                <w:lang w:eastAsia="zh-CN"/>
              </w:rPr>
              <w:t>思凯及其关联公司</w:t>
            </w:r>
            <w:r>
              <w:rPr>
                <w:rFonts w:hint="eastAsia" w:ascii="Arial" w:hAnsi="Arial" w:eastAsia="仿宋_GB2312" w:cs="Arial"/>
                <w:sz w:val="28"/>
                <w:szCs w:val="28"/>
              </w:rPr>
              <w:t>和</w:t>
            </w:r>
            <w:r>
              <w:rPr>
                <w:rFonts w:hint="eastAsia" w:ascii="Arial" w:hAnsi="Arial" w:eastAsia="仿宋_GB2312" w:cs="Arial"/>
                <w:sz w:val="28"/>
                <w:szCs w:val="28"/>
                <w:lang w:val="en-US" w:eastAsia="zh-CN"/>
              </w:rPr>
              <w:t>科尔沁牛业</w:t>
            </w:r>
            <w:r>
              <w:rPr>
                <w:rFonts w:hint="eastAsia" w:ascii="Arial" w:hAnsi="Arial" w:eastAsia="仿宋_GB2312" w:cs="Arial"/>
                <w:sz w:val="28"/>
                <w:szCs w:val="28"/>
              </w:rPr>
              <w:t>在本次交易的相关市场不存在任何横向重叠、纵向关系或相邻关系。</w:t>
            </w:r>
          </w:p>
        </w:tc>
      </w:tr>
    </w:tbl>
    <w:p>
      <w:pPr>
        <w:spacing w:line="500" w:lineRule="exact"/>
        <w:rPr>
          <w:rFonts w:ascii="Arial" w:hAnsi="Arial" w:eastAsia="仿宋_GB2312" w:cs="Arial"/>
          <w:sz w:val="28"/>
          <w:szCs w:val="28"/>
        </w:rPr>
      </w:pPr>
    </w:p>
    <w:p>
      <w:pPr>
        <w:snapToGrid w:val="0"/>
        <w:spacing w:line="360" w:lineRule="auto"/>
        <w:jc w:val="left"/>
        <w:rPr>
          <w:rFonts w:ascii="Arial" w:hAnsi="Arial" w:eastAsia="仿宋_GB2312" w:cs="Arial"/>
          <w:sz w:val="28"/>
          <w:szCs w:val="28"/>
        </w:rPr>
      </w:pPr>
      <w:r>
        <w:rPr>
          <w:rFonts w:ascii="Arial" w:hAnsi="Arial" w:eastAsia="仿宋_GB2312" w:cs="Arial"/>
          <w:sz w:val="28"/>
          <w:szCs w:val="28"/>
        </w:rPr>
        <w:t>注解：</w:t>
      </w:r>
    </w:p>
    <w:p>
      <w:pPr>
        <w:snapToGrid w:val="0"/>
        <w:spacing w:line="360" w:lineRule="auto"/>
        <w:jc w:val="left"/>
        <w:rPr>
          <w:rFonts w:ascii="Arial" w:hAnsi="Arial" w:eastAsia="仿宋_GB2312" w:cs="Arial"/>
          <w:sz w:val="28"/>
          <w:szCs w:val="28"/>
        </w:rPr>
      </w:pPr>
      <w:r>
        <w:rPr>
          <w:rFonts w:ascii="Arial" w:hAnsi="Arial" w:eastAsia="仿宋_GB2312" w:cs="Arial"/>
          <w:sz w:val="28"/>
          <w:szCs w:val="28"/>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rPr>
          <w:rFonts w:ascii="Arial" w:hAnsi="Arial" w:eastAsia="仿宋_GB2312" w:cs="Arial"/>
          <w:sz w:val="28"/>
          <w:szCs w:val="28"/>
        </w:rPr>
      </w:pPr>
      <w:r>
        <w:rPr>
          <w:rFonts w:ascii="Arial" w:hAnsi="Arial" w:eastAsia="仿宋_GB2312" w:cs="Arial"/>
          <w:sz w:val="28"/>
          <w:szCs w:val="28"/>
        </w:rPr>
        <w:t>2、申报方申请简易案件的理由是基于第4项、第5项时，无须在备注中说明相关市场和市场份额。</w:t>
      </w:r>
      <w:r>
        <w:rPr>
          <w:rFonts w:ascii="Arial" w:hAnsi="Arial" w:eastAsia="仿宋_GB2312" w:cs="Arial"/>
          <w:sz w:val="28"/>
          <w:szCs w:val="28"/>
        </w:rPr>
        <w:br w:type="textWrapping"/>
      </w:r>
      <w:r>
        <w:rPr>
          <w:rFonts w:ascii="Arial" w:hAnsi="Arial" w:eastAsia="仿宋_GB2312" w:cs="Arial"/>
          <w:sz w:val="28"/>
          <w:szCs w:val="28"/>
        </w:rPr>
        <w:t>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Arial">
    <w:panose1 w:val="020B0604020202020204"/>
    <w:charset w:val="00"/>
    <w:family w:val="swiss"/>
    <w:pitch w:val="default"/>
    <w:sig w:usb0="E0002EFF" w:usb1="C0007843" w:usb2="00000009" w:usb3="00000000" w:csb0="400001FF" w:csb1="FFFF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仿宋_GB2312">
    <w:altName w:val="仿宋"/>
    <w:panose1 w:val="00000000000000000000"/>
    <w:charset w:val="00"/>
    <w:family w:val="auto"/>
    <w:pitch w:val="default"/>
    <w:sig w:usb0="00000000" w:usb1="00000000" w:usb2="00000000" w:usb3="00000000" w:csb0="00000000" w:csb1="00000000"/>
  </w:font>
  <w:font w:name="Times New Roman Gras">
    <w:altName w:val="Times New Roman"/>
    <w:panose1 w:val="00000000000000000000"/>
    <w:charset w:val="00"/>
    <w:family w:val="roman"/>
    <w:pitch w:val="default"/>
    <w:sig w:usb0="00000000" w:usb1="00000000" w:usb2="00000000" w:usb3="00000000" w:csb0="00040001" w:csb1="00000000"/>
  </w:font>
  <w:font w:name="Courier New">
    <w:panose1 w:val="02070309020205020404"/>
    <w:charset w:val="00"/>
    <w:family w:val="modern"/>
    <w:pitch w:val="default"/>
    <w:sig w:usb0="E0002EFF" w:usb1="C0007843"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swiss"/>
    <w:pitch w:val="default"/>
    <w:sig w:usb0="80000287" w:usb1="28CF3C50" w:usb2="00000016" w:usb3="00000000" w:csb0="0004001F" w:csb1="00000000"/>
  </w:font>
  <w:font w:name="Calibri Light">
    <w:panose1 w:val="020F0302020204030204"/>
    <w:charset w:val="00"/>
    <w:family w:val="swiss"/>
    <w:pitch w:val="default"/>
    <w:sig w:usb0="E0002A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Wingdings">
    <w:panose1 w:val="05000000000000000000"/>
    <w:charset w:val="00"/>
    <w:family w:val="auto"/>
    <w:pitch w:val="default"/>
    <w:sig w:usb0="00000000" w:usb1="00000000" w:usb2="00000000" w:usb3="00000000" w:csb0="80000000" w:csb1="00000000"/>
  </w:font>
  <w:font w:name="Batang">
    <w:altName w:val="Malgun Gothic"/>
    <w:panose1 w:val="02030600000101010101"/>
    <w:charset w:val="81"/>
    <w:family w:val="roman"/>
    <w:pitch w:val="default"/>
    <w:sig w:usb0="00000000" w:usb1="00000000" w:usb2="00000030" w:usb3="00000000" w:csb0="0008009F" w:csb1="00000000"/>
  </w:font>
  <w:font w:name="Gulim">
    <w:altName w:val="Malgun Gothic"/>
    <w:panose1 w:val="020B0600000101010101"/>
    <w:charset w:val="81"/>
    <w:family w:val="swiss"/>
    <w:pitch w:val="default"/>
    <w:sig w:usb0="00000000" w:usb1="00000000" w:usb2="00000030" w:usb3="00000000" w:csb0="0008009F" w:csb1="00000000"/>
  </w:font>
  <w:font w:name="Malgun Gothic">
    <w:panose1 w:val="020B0503020000020004"/>
    <w:charset w:val="81"/>
    <w:family w:val="swiss"/>
    <w:pitch w:val="default"/>
    <w:sig w:usb0="9000002F" w:usb1="29D77CFB" w:usb2="00000012" w:usb3="00000000" w:csb0="00080001" w:csb1="00000000"/>
  </w:font>
  <w:font w:name="Wingdings 2">
    <w:panose1 w:val="05020102010507070707"/>
    <w:charset w:val="02"/>
    <w:family w:val="roman"/>
    <w:pitch w:val="default"/>
    <w:sig w:usb0="00000000" w:usb1="00000000" w:usb2="00000000" w:usb3="00000000" w:csb0="80000000" w:csb1="00000000"/>
  </w:font>
  <w:font w:name="Arial Bold">
    <w:altName w:val="Arial"/>
    <w:panose1 w:val="020B0704020202020204"/>
    <w:charset w:val="00"/>
    <w:family w:val="roman"/>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CG Times">
    <w:altName w:val="Times New Roman"/>
    <w:panose1 w:val="00000000000000000000"/>
    <w:charset w:val="00"/>
    <w:family w:val="roman"/>
    <w:pitch w:val="default"/>
    <w:sig w:usb0="00000000" w:usb1="00000000" w:usb2="00000000" w:usb3="00000000" w:csb0="00000093" w:csb1="00000000"/>
  </w:font>
  <w:font w:name="MingLiU">
    <w:altName w:val="PMingLiU-ExtB"/>
    <w:panose1 w:val="02020509000000000000"/>
    <w:charset w:val="88"/>
    <w:family w:val="modern"/>
    <w:pitch w:val="default"/>
    <w:sig w:usb0="00000000" w:usb1="00000000" w:usb2="00000016" w:usb3="00000000" w:csb0="00100001" w:csb1="00000000"/>
  </w:font>
  <w:font w:name="AngsanaUPC">
    <w:altName w:val="Times New Roman"/>
    <w:panose1 w:val="02020603050405020304"/>
    <w:charset w:val="00"/>
    <w:family w:val="roman"/>
    <w:pitch w:val="default"/>
    <w:sig w:usb0="00000000" w:usb1="00000000" w:usb2="00000000" w:usb3="00000000" w:csb0="00010001" w:csb1="00000000"/>
  </w:font>
  <w:font w:name="PMingLiU-ExtB">
    <w:panose1 w:val="02020500000000000000"/>
    <w:charset w:val="88"/>
    <w:family w:val="auto"/>
    <w:pitch w:val="default"/>
    <w:sig w:usb0="8000002F" w:usb1="02000008" w:usb2="00000000" w:usb3="00000000" w:csb0="00100001" w:csb1="00000000"/>
  </w:font>
  <w:font w:name="KaiTi_GB2312">
    <w:altName w:val="宋体"/>
    <w:panose1 w:val="02010609060101010101"/>
    <w:charset w:val="86"/>
    <w:family w:val="modern"/>
    <w:pitch w:val="default"/>
    <w:sig w:usb0="00000000" w:usb1="00000000" w:usb2="00000016" w:usb3="00000000" w:csb0="00040001" w:csb1="00000000"/>
  </w:font>
  <w:font w:name="FangSong_GB2312">
    <w:altName w:val="仿宋"/>
    <w:panose1 w:val="02010609060101010101"/>
    <w:charset w:val="86"/>
    <w:family w:val="modern"/>
    <w:pitch w:val="default"/>
    <w:sig w:usb0="00000000" w:usb1="00000000" w:usb2="00000016" w:usb3="00000000" w:csb0="00040001" w:csb1="00000000"/>
  </w:font>
  <w:font w:name="PMingLiU">
    <w:altName w:val="PMingLiU-ExtB"/>
    <w:panose1 w:val="02020500000000000000"/>
    <w:charset w:val="88"/>
    <w:family w:val="roman"/>
    <w:pitch w:val="default"/>
    <w:sig w:usb0="00000000" w:usb1="00000000" w:usb2="00000016" w:usb3="00000000" w:csb0="00100001"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方正大黑简体">
    <w:altName w:val="黑体"/>
    <w:panose1 w:val="02010601030101010101"/>
    <w:charset w:val="86"/>
    <w:family w:val="auto"/>
    <w:pitch w:val="default"/>
    <w:sig w:usb0="00000000" w:usb1="0000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AA4B8E"/>
    <w:multiLevelType w:val="multilevel"/>
    <w:tmpl w:val="19AA4B8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A042DD6"/>
    <w:multiLevelType w:val="singleLevel"/>
    <w:tmpl w:val="5A042DD6"/>
    <w:lvl w:ilvl="0" w:tentative="0">
      <w:start w:val="1"/>
      <w:numFmt w:val="bullet"/>
      <w:lvlText w:val=""/>
      <w:lvlJc w:val="left"/>
      <w:pPr>
        <w:ind w:left="420" w:hanging="420"/>
      </w:pPr>
      <w:rPr>
        <w:rFonts w:hint="default" w:ascii="Wingdings" w:hAnsi="Wingdings"/>
      </w:rPr>
    </w:lvl>
  </w:abstractNum>
  <w:abstractNum w:abstractNumId="2">
    <w:nsid w:val="5A042E01"/>
    <w:multiLevelType w:val="singleLevel"/>
    <w:tmpl w:val="5A042E01"/>
    <w:lvl w:ilvl="0" w:tentative="0">
      <w:start w:val="1"/>
      <w:numFmt w:val="bullet"/>
      <w:lvlText w:val=""/>
      <w:lvlJc w:val="left"/>
      <w:pPr>
        <w:ind w:left="420" w:hanging="420"/>
      </w:pPr>
      <w:rPr>
        <w:rFonts w:hint="default" w:ascii="Wingdings" w:hAnsi="Wingdings"/>
      </w:rPr>
    </w:lvl>
  </w:abstractNum>
  <w:abstractNum w:abstractNumId="3">
    <w:nsid w:val="6ADB2F1C"/>
    <w:multiLevelType w:val="multilevel"/>
    <w:tmpl w:val="6ADB2F1C"/>
    <w:lvl w:ilvl="0" w:tentative="0">
      <w:start w:val="1"/>
      <w:numFmt w:val="decimal"/>
      <w:lvlText w:val="%1."/>
      <w:lvlJc w:val="left"/>
      <w:pPr>
        <w:ind w:left="360" w:hanging="360"/>
      </w:pPr>
      <w:rPr>
        <w:rFonts w:hint="default" w:ascii="Arial" w:hAnsi="Arial" w:eastAsia="仿宋_GB2312" w:cs="Arial"/>
        <w:sz w:val="2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51C75"/>
    <w:rsid w:val="00094095"/>
    <w:rsid w:val="000D2E60"/>
    <w:rsid w:val="0014290A"/>
    <w:rsid w:val="00150E03"/>
    <w:rsid w:val="00165C5F"/>
    <w:rsid w:val="0016704D"/>
    <w:rsid w:val="00197DF6"/>
    <w:rsid w:val="00260862"/>
    <w:rsid w:val="002B27F6"/>
    <w:rsid w:val="002C5E50"/>
    <w:rsid w:val="002E0FF2"/>
    <w:rsid w:val="00334101"/>
    <w:rsid w:val="00355860"/>
    <w:rsid w:val="00422713"/>
    <w:rsid w:val="00436DE9"/>
    <w:rsid w:val="00462174"/>
    <w:rsid w:val="00470CDE"/>
    <w:rsid w:val="00574C1B"/>
    <w:rsid w:val="005C4AE3"/>
    <w:rsid w:val="006749BD"/>
    <w:rsid w:val="00685A32"/>
    <w:rsid w:val="00774D23"/>
    <w:rsid w:val="00792C5D"/>
    <w:rsid w:val="007E3940"/>
    <w:rsid w:val="0082331E"/>
    <w:rsid w:val="00826CD9"/>
    <w:rsid w:val="009311F6"/>
    <w:rsid w:val="00981297"/>
    <w:rsid w:val="00A36511"/>
    <w:rsid w:val="00A85090"/>
    <w:rsid w:val="00A86B91"/>
    <w:rsid w:val="00A913EF"/>
    <w:rsid w:val="00AC26DC"/>
    <w:rsid w:val="00AC6727"/>
    <w:rsid w:val="00B71B1B"/>
    <w:rsid w:val="00BC2FA1"/>
    <w:rsid w:val="00C05033"/>
    <w:rsid w:val="00C22538"/>
    <w:rsid w:val="00C300C8"/>
    <w:rsid w:val="00CA48F1"/>
    <w:rsid w:val="00CC41E5"/>
    <w:rsid w:val="00D35847"/>
    <w:rsid w:val="00D661C7"/>
    <w:rsid w:val="00DB65D9"/>
    <w:rsid w:val="00DF5E25"/>
    <w:rsid w:val="00E14001"/>
    <w:rsid w:val="00E2092C"/>
    <w:rsid w:val="00F16128"/>
    <w:rsid w:val="00F60E13"/>
    <w:rsid w:val="00F87C1F"/>
    <w:rsid w:val="00FB6E50"/>
    <w:rsid w:val="04DA02D1"/>
    <w:rsid w:val="10C5308B"/>
    <w:rsid w:val="15A607E3"/>
    <w:rsid w:val="19B76C07"/>
    <w:rsid w:val="209D42DC"/>
    <w:rsid w:val="27C655F7"/>
    <w:rsid w:val="27FF6B8C"/>
    <w:rsid w:val="33E40FE9"/>
    <w:rsid w:val="3C547D47"/>
    <w:rsid w:val="42206F40"/>
    <w:rsid w:val="53187832"/>
    <w:rsid w:val="53A34442"/>
    <w:rsid w:val="5FE71E03"/>
    <w:rsid w:val="762400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unhideWhenUsed/>
    <w:uiPriority w:val="1"/>
  </w:style>
  <w:style w:type="table" w:default="1" w:styleId="8">
    <w:name w:val="Normal Table"/>
    <w:unhideWhenUsed/>
    <w:uiPriority w:val="99"/>
    <w:tblPr>
      <w:tblLayout w:type="fixed"/>
      <w:tblCellMar>
        <w:top w:w="0" w:type="dxa"/>
        <w:left w:w="108" w:type="dxa"/>
        <w:bottom w:w="0" w:type="dxa"/>
        <w:right w:w="108" w:type="dxa"/>
      </w:tblCellMar>
    </w:tblPr>
  </w:style>
  <w:style w:type="paragraph" w:styleId="2">
    <w:name w:val="endnote text"/>
    <w:basedOn w:val="1"/>
    <w:link w:val="10"/>
    <w:unhideWhenUsed/>
    <w:qFormat/>
    <w:uiPriority w:val="99"/>
    <w:pPr>
      <w:snapToGrid w:val="0"/>
      <w:jc w:val="left"/>
    </w:pPr>
  </w:style>
  <w:style w:type="paragraph" w:styleId="3">
    <w:name w:val="Balloon Text"/>
    <w:basedOn w:val="1"/>
    <w:link w:val="14"/>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endnote reference"/>
    <w:basedOn w:val="6"/>
    <w:unhideWhenUsed/>
    <w:uiPriority w:val="99"/>
    <w:rPr>
      <w:vertAlign w:val="superscript"/>
    </w:rPr>
  </w:style>
  <w:style w:type="table" w:styleId="9">
    <w:name w:val="Table Grid"/>
    <w:basedOn w:val="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0">
    <w:name w:val="尾注文本 Char"/>
    <w:basedOn w:val="6"/>
    <w:link w:val="2"/>
    <w:semiHidden/>
    <w:qFormat/>
    <w:uiPriority w:val="99"/>
  </w:style>
  <w:style w:type="character" w:customStyle="1" w:styleId="11">
    <w:name w:val="页眉 Char"/>
    <w:basedOn w:val="6"/>
    <w:link w:val="5"/>
    <w:uiPriority w:val="99"/>
    <w:rPr>
      <w:sz w:val="18"/>
      <w:szCs w:val="18"/>
    </w:rPr>
  </w:style>
  <w:style w:type="character" w:customStyle="1" w:styleId="12">
    <w:name w:val="页脚 Char"/>
    <w:basedOn w:val="6"/>
    <w:link w:val="4"/>
    <w:uiPriority w:val="99"/>
    <w:rPr>
      <w:sz w:val="18"/>
      <w:szCs w:val="18"/>
    </w:rPr>
  </w:style>
  <w:style w:type="paragraph" w:customStyle="1" w:styleId="13">
    <w:name w:val="List Paragraph"/>
    <w:basedOn w:val="1"/>
    <w:qFormat/>
    <w:uiPriority w:val="34"/>
    <w:pPr>
      <w:ind w:firstLine="420" w:firstLineChars="200"/>
    </w:pPr>
  </w:style>
  <w:style w:type="character" w:customStyle="1" w:styleId="14">
    <w:name w:val="批注框文本 Char"/>
    <w:basedOn w:val="6"/>
    <w:link w:val="3"/>
    <w:semiHidden/>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173</Words>
  <Characters>990</Characters>
  <Lines>8</Lines>
  <Paragraphs>2</Paragraphs>
  <ScaleCrop>false</ScaleCrop>
  <LinksUpToDate>false</LinksUpToDate>
  <CharactersWithSpaces>1161</CharactersWithSpaces>
  <Application>WPS Office_10.1.0.6929_F1E327BC-269C-435d-A152-05C5408002CA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2017-10-13T01:08:00Z</dcterms:created>
  <dc:creator>dell</dc:creator>
  <cp:lastModifiedBy>ladyl</cp:lastModifiedBy>
  <cp:lastPrinted>2016-12-23T09:19:00Z</cp:lastPrinted>
  <dcterms:modified xsi:type="dcterms:W3CDTF">2017-11-10T03:05:11Z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