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C92741" w:rsidRDefault="007F1D6E" w:rsidP="00094095">
      <w:pPr>
        <w:spacing w:line="440" w:lineRule="exact"/>
        <w:jc w:val="center"/>
        <w:rPr>
          <w:rFonts w:ascii="黑体" w:eastAsia="黑体" w:hAnsi="Times New Roman"/>
          <w:b/>
          <w:sz w:val="30"/>
          <w:szCs w:val="30"/>
        </w:rPr>
      </w:pPr>
      <w:r w:rsidRPr="00C92741">
        <w:rPr>
          <w:rFonts w:ascii="黑体" w:eastAsia="黑体" w:hAnsi="Times New Roman" w:hint="eastAsia"/>
          <w:b/>
          <w:sz w:val="30"/>
          <w:szCs w:val="30"/>
        </w:rPr>
        <w:t>经营者集中简易案件公示表</w:t>
      </w:r>
    </w:p>
    <w:p w:rsidR="00094095" w:rsidRPr="007F1D6E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094095" w:rsidRPr="007F1D6E" w:rsidRDefault="00094095" w:rsidP="00094095">
      <w:pPr>
        <w:spacing w:line="440" w:lineRule="exact"/>
        <w:ind w:firstLineChars="302" w:firstLine="846"/>
        <w:rPr>
          <w:rFonts w:ascii="仿宋_GB2312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F1D6E" w:rsidTr="002F2D60">
        <w:tc>
          <w:tcPr>
            <w:tcW w:w="1809" w:type="dxa"/>
            <w:shd w:val="clear" w:color="auto" w:fill="D9D9D9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三得利</w:t>
            </w:r>
            <w:r w:rsidR="005520FB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食品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饮料亚洲有限公司收购国际饮料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（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泰国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）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有限公司股权案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（“</w:t>
            </w:r>
            <w:r w:rsidRPr="00542813">
              <w:rPr>
                <w:rFonts w:ascii="Microsoft JhengHei" w:eastAsia="黑体" w:hAnsi="Microsoft JhengHei" w:cs="Microsoft JhengHei" w:hint="eastAsia"/>
                <w:b/>
                <w:sz w:val="24"/>
                <w:szCs w:val="28"/>
              </w:rPr>
              <w:t>本交易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”）</w:t>
            </w:r>
          </w:p>
        </w:tc>
      </w:tr>
      <w:tr w:rsidR="00094095" w:rsidRPr="007F1D6E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交易概况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（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限</w:t>
            </w:r>
            <w:r w:rsidRPr="00542813">
              <w:rPr>
                <w:rFonts w:ascii="仿宋_GB2312" w:eastAsia="黑体" w:hAnsi="Times New Roman"/>
                <w:sz w:val="24"/>
                <w:szCs w:val="28"/>
              </w:rPr>
              <w:t>200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字内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542813" w:rsidRDefault="007F1D6E" w:rsidP="00EE417B">
            <w:pPr>
              <w:spacing w:line="500" w:lineRule="exact"/>
              <w:rPr>
                <w:rFonts w:ascii="Microsoft JhengHei" w:eastAsia="PMingLiU" w:hAnsi="Microsoft JhengHei" w:cs="Microsoft JhengHei"/>
                <w:sz w:val="24"/>
                <w:szCs w:val="28"/>
                <w:lang w:val="en-GB"/>
              </w:rPr>
            </w:pP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三得利</w:t>
            </w:r>
            <w:r w:rsidR="005520FB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食品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饮料亚洲有限公司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（“</w:t>
            </w:r>
            <w:r w:rsidRPr="00542813">
              <w:rPr>
                <w:rFonts w:ascii="Microsoft JhengHei" w:eastAsia="黑体" w:hAnsi="Microsoft JhengHei" w:cs="Microsoft JhengHei" w:hint="eastAsia"/>
                <w:b/>
                <w:sz w:val="24"/>
                <w:szCs w:val="28"/>
              </w:rPr>
              <w:t>三得利亚洲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”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）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与百事公司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（“</w:t>
            </w:r>
            <w:r w:rsidRPr="00542813">
              <w:rPr>
                <w:rFonts w:ascii="Microsoft JhengHei" w:eastAsia="黑体" w:hAnsi="Microsoft JhengHei" w:cs="Microsoft JhengHei" w:hint="eastAsia"/>
                <w:b/>
                <w:sz w:val="24"/>
                <w:szCs w:val="28"/>
              </w:rPr>
              <w:t>百事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”）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以及双方的关联公司于</w:t>
            </w:r>
            <w:r w:rsidRPr="00542813">
              <w:rPr>
                <w:rFonts w:ascii="Arial" w:eastAsia="黑体" w:hAnsi="Arial" w:cs="Arial"/>
                <w:sz w:val="24"/>
                <w:szCs w:val="28"/>
              </w:rPr>
              <w:t>2017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年</w:t>
            </w:r>
            <w:r w:rsidRPr="00542813">
              <w:rPr>
                <w:rFonts w:ascii="Arial" w:eastAsia="黑体" w:hAnsi="Arial" w:cs="Arial"/>
                <w:sz w:val="24"/>
                <w:szCs w:val="28"/>
              </w:rPr>
              <w:t>11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月</w:t>
            </w:r>
            <w:r w:rsidRPr="00542813">
              <w:rPr>
                <w:rFonts w:ascii="Arial" w:eastAsia="黑体" w:hAnsi="Arial" w:cs="Arial"/>
                <w:sz w:val="24"/>
                <w:szCs w:val="28"/>
              </w:rPr>
              <w:t>2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日签订了一份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  <w:lang w:val="en-GB"/>
              </w:rPr>
              <w:t>框架协议以及一份合营企业协议。</w:t>
            </w:r>
            <w:r w:rsidR="000252A5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三得利亚洲</w:t>
            </w:r>
            <w:proofErr w:type="gramStart"/>
            <w:r w:rsidR="000252A5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將</w:t>
            </w:r>
            <w:proofErr w:type="gramEnd"/>
            <w:r w:rsidR="007C53E0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通</w:t>
            </w:r>
            <w:r w:rsidR="000252A5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過本交易收购对国际饮料（泰国）有限公司</w:t>
            </w:r>
            <w:r w:rsidR="000252A5"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（“</w:t>
            </w:r>
            <w:r w:rsidR="000252A5" w:rsidRPr="00542813">
              <w:rPr>
                <w:rFonts w:ascii="Microsoft JhengHei" w:eastAsia="黑体" w:hAnsi="Microsoft JhengHei" w:cs="Microsoft JhengHei" w:hint="eastAsia"/>
                <w:b/>
                <w:sz w:val="24"/>
                <w:szCs w:val="28"/>
              </w:rPr>
              <w:t>合营企业</w:t>
            </w:r>
            <w:r w:rsidR="000252A5"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”</w:t>
            </w:r>
            <w:r w:rsidR="000252A5" w:rsidRPr="00542813">
              <w:rPr>
                <w:rFonts w:ascii="仿宋_GB2312" w:eastAsia="黑体" w:hAnsi="Times New Roman" w:hint="eastAsia"/>
                <w:sz w:val="24"/>
                <w:szCs w:val="28"/>
              </w:rPr>
              <w:t>）</w:t>
            </w:r>
            <w:r w:rsidR="000252A5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的共同控制权</w:t>
            </w:r>
            <w:r w:rsidR="002D285E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（与百</w:t>
            </w:r>
            <w:proofErr w:type="gramStart"/>
            <w:r w:rsidR="002D285E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事共同</w:t>
            </w:r>
            <w:proofErr w:type="gramEnd"/>
            <w:r w:rsidR="002D285E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控制）</w:t>
            </w:r>
            <w:r w:rsidR="002D285E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  <w:lang w:val="en-GB"/>
              </w:rPr>
              <w:t>。</w:t>
            </w:r>
          </w:p>
        </w:tc>
      </w:tr>
      <w:tr w:rsidR="00094095" w:rsidRPr="007F1D6E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仿宋_GB2312" w:eastAsia="黑体" w:hAnsi="Times New Roman"/>
                <w:sz w:val="24"/>
                <w:szCs w:val="28"/>
              </w:rPr>
              <w:t>1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三得利亚洲</w:t>
            </w:r>
          </w:p>
        </w:tc>
        <w:tc>
          <w:tcPr>
            <w:tcW w:w="5153" w:type="dxa"/>
          </w:tcPr>
          <w:p w:rsidR="00094095" w:rsidRPr="00542813" w:rsidRDefault="007F1D6E" w:rsidP="00086CC9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三得利亚洲是三得利</w:t>
            </w:r>
            <w:r w:rsidR="004B47A0" w:rsidRPr="00542813">
              <w:rPr>
                <w:rFonts w:ascii="Microsoft JhengHei" w:eastAsia="Microsoft JhengHei" w:hAnsi="Microsoft JhengHei" w:cs="Microsoft JhengHei" w:hint="eastAsia"/>
                <w:sz w:val="24"/>
                <w:szCs w:val="28"/>
              </w:rPr>
              <w:t>食品饮料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公司的亚太区总部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，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主要负责经营亚太区的不含酒精饮料和食品业务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。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三得利</w:t>
            </w:r>
            <w:r w:rsidR="004B47A0" w:rsidRPr="00542813">
              <w:rPr>
                <w:rFonts w:ascii="Microsoft JhengHei" w:eastAsia="Microsoft JhengHei" w:hAnsi="Microsoft JhengHei" w:cs="Microsoft JhengHei" w:hint="eastAsia"/>
                <w:sz w:val="24"/>
                <w:szCs w:val="28"/>
              </w:rPr>
              <w:t>食品饮料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公司隶属于三得利公司集团（以下简称“</w:t>
            </w:r>
            <w:r w:rsidRPr="00542813">
              <w:rPr>
                <w:rFonts w:ascii="Microsoft JhengHei" w:eastAsia="黑体" w:hAnsi="Microsoft JhengHei" w:cs="Microsoft JhengHei" w:hint="eastAsia"/>
                <w:b/>
                <w:sz w:val="24"/>
                <w:szCs w:val="28"/>
              </w:rPr>
              <w:t>三得利集团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”）。三得利集团在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  <w:lang w:val="en-GB"/>
              </w:rPr>
              <w:t>全球均有业务，包括：食品、酒类和不含酒精饮料、餐厅、运动、花卉、服务公司和</w:t>
            </w:r>
            <w:proofErr w:type="gramStart"/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  <w:lang w:val="en-GB"/>
              </w:rPr>
              <w:t>跨功能</w:t>
            </w:r>
            <w:proofErr w:type="gramEnd"/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  <w:lang w:val="en-GB"/>
              </w:rPr>
              <w:t>公司的经营活动。</w:t>
            </w:r>
          </w:p>
        </w:tc>
      </w:tr>
      <w:tr w:rsidR="00094095" w:rsidRPr="007F1D6E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542813" w:rsidRDefault="00094095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</w:p>
        </w:tc>
        <w:tc>
          <w:tcPr>
            <w:tcW w:w="1796" w:type="dxa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仿宋_GB2312" w:eastAsia="黑体" w:hAnsi="Times New Roman"/>
                <w:sz w:val="24"/>
                <w:szCs w:val="28"/>
              </w:rPr>
              <w:t>2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百事</w:t>
            </w:r>
          </w:p>
        </w:tc>
        <w:tc>
          <w:tcPr>
            <w:tcW w:w="5153" w:type="dxa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百事是一个全球性饮料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休闲食品和食品业务的最终母公司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。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百事品牌组合</w:t>
            </w:r>
            <w:proofErr w:type="gramStart"/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中著</w:t>
            </w:r>
            <w:proofErr w:type="gramEnd"/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名的不含酒精饮料品牌包括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：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百事可乐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七喜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佳得乐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激浪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r w:rsidRPr="00542813">
              <w:rPr>
                <w:rFonts w:ascii="Arial" w:eastAsia="黑体" w:hAnsi="Arial" w:cs="Arial"/>
                <w:sz w:val="24"/>
                <w:szCs w:val="28"/>
              </w:rPr>
              <w:t>Naked Juice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proofErr w:type="gramStart"/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纯果乐</w:t>
            </w:r>
            <w:proofErr w:type="gramEnd"/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阿夸菲纳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立顿冰茶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r w:rsidRPr="00542813">
              <w:rPr>
                <w:rFonts w:ascii="Arial" w:eastAsia="黑体" w:hAnsi="Arial" w:cs="Arial"/>
                <w:sz w:val="24"/>
                <w:szCs w:val="28"/>
              </w:rPr>
              <w:t>Pure Leaf Iced Tea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r w:rsidRPr="00542813">
              <w:rPr>
                <w:rFonts w:ascii="Arial" w:eastAsia="黑体" w:hAnsi="Arial" w:cs="Arial"/>
                <w:sz w:val="24"/>
                <w:szCs w:val="28"/>
              </w:rPr>
              <w:t>Brisk Iced Tea</w:t>
            </w:r>
            <w:r w:rsidRPr="00542813">
              <w:rPr>
                <w:rFonts w:ascii="Malgun Gothic Semilight" w:eastAsia="黑体" w:hAnsi="Malgun Gothic Semilight" w:cs="Malgun Gothic Semilight"/>
                <w:sz w:val="24"/>
                <w:szCs w:val="28"/>
              </w:rPr>
              <w:t xml:space="preserve"> 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和</w:t>
            </w:r>
            <w:proofErr w:type="gramStart"/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星巴克冰</w:t>
            </w:r>
            <w:proofErr w:type="gramEnd"/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咖啡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。</w:t>
            </w:r>
          </w:p>
        </w:tc>
      </w:tr>
      <w:tr w:rsidR="00094095" w:rsidRPr="007F1D6E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542813" w:rsidRDefault="00094095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</w:p>
        </w:tc>
        <w:tc>
          <w:tcPr>
            <w:tcW w:w="1796" w:type="dxa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３、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合营企业</w:t>
            </w:r>
          </w:p>
        </w:tc>
        <w:tc>
          <w:tcPr>
            <w:tcW w:w="5153" w:type="dxa"/>
          </w:tcPr>
          <w:p w:rsidR="00094095" w:rsidRPr="00542813" w:rsidRDefault="007F1D6E" w:rsidP="007C53E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合营</w:t>
            </w:r>
            <w:r w:rsidR="000B3B62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企业隶属于百事，其股权由百事的子公司所拥有。合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营企业目前在泰国以百事所拥有或</w:t>
            </w:r>
            <w:r w:rsidR="007C53E0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独家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使用的品牌从事不含酒精饮料的生产和分销</w:t>
            </w:r>
            <w:r w:rsidR="007C53E0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业务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。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本交易完成后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，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合营企业将专注于发展其泰国境内业务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。</w:t>
            </w:r>
          </w:p>
        </w:tc>
      </w:tr>
      <w:tr w:rsidR="00094095" w:rsidRPr="007F1D6E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542813" w:rsidRDefault="007F1D6E" w:rsidP="00BB2377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lastRenderedPageBreak/>
              <w:t>简易案件理由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（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可以单选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，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也可以多选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□</w:t>
            </w:r>
            <w:r w:rsidRPr="00542813">
              <w:rPr>
                <w:rFonts w:ascii="仿宋_GB2312" w:eastAsia="黑体" w:hAnsi="Times New Roman"/>
                <w:sz w:val="24"/>
                <w:szCs w:val="28"/>
              </w:rPr>
              <w:t>1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在同一相关市场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，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所有参与集中的经营者所占市场份额之和小于</w:t>
            </w:r>
            <w:r w:rsidRPr="00542813">
              <w:rPr>
                <w:rFonts w:ascii="仿宋_GB2312" w:eastAsia="黑体" w:hAnsi="Times New Roman"/>
                <w:sz w:val="24"/>
                <w:szCs w:val="28"/>
              </w:rPr>
              <w:t>15%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。</w:t>
            </w:r>
          </w:p>
        </w:tc>
      </w:tr>
      <w:tr w:rsidR="00094095" w:rsidRPr="007F1D6E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542813" w:rsidRDefault="00094095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□</w:t>
            </w:r>
            <w:r w:rsidRPr="00542813">
              <w:rPr>
                <w:rFonts w:ascii="仿宋_GB2312" w:eastAsia="黑体" w:hAnsi="Times New Roman"/>
                <w:sz w:val="24"/>
                <w:szCs w:val="28"/>
              </w:rPr>
              <w:t>2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存在上下游关系的参与集中的经营者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，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在上下游市场所占的市场份额均小于</w:t>
            </w:r>
            <w:r w:rsidRPr="00542813">
              <w:rPr>
                <w:rFonts w:ascii="仿宋_GB2312" w:eastAsia="黑体" w:hAnsi="Times New Roman"/>
                <w:sz w:val="24"/>
                <w:szCs w:val="28"/>
              </w:rPr>
              <w:t>25%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。</w:t>
            </w:r>
          </w:p>
        </w:tc>
      </w:tr>
      <w:tr w:rsidR="00094095" w:rsidRPr="007F1D6E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542813" w:rsidRDefault="00094095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□</w:t>
            </w:r>
            <w:r w:rsidRPr="00542813">
              <w:rPr>
                <w:rFonts w:ascii="仿宋_GB2312" w:eastAsia="黑体" w:hAnsi="Times New Roman"/>
                <w:sz w:val="24"/>
                <w:szCs w:val="28"/>
              </w:rPr>
              <w:t>3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不在同一相关市场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也不存在上下游关系的参与集中的经营者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，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在与交易有关的每个市场所占的份额均小于</w:t>
            </w:r>
            <w:r w:rsidRPr="00542813">
              <w:rPr>
                <w:rFonts w:ascii="仿宋_GB2312" w:eastAsia="黑体" w:hAnsi="Times New Roman"/>
                <w:sz w:val="24"/>
                <w:szCs w:val="28"/>
              </w:rPr>
              <w:t>25%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。</w:t>
            </w:r>
          </w:p>
        </w:tc>
      </w:tr>
      <w:tr w:rsidR="00094095" w:rsidRPr="007F1D6E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542813" w:rsidRDefault="00094095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542813" w:rsidRDefault="00DE5472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□</w:t>
            </w:r>
            <w:r w:rsidR="007F1D6E" w:rsidRPr="00542813">
              <w:rPr>
                <w:rFonts w:ascii="仿宋_GB2312" w:eastAsia="黑体" w:hAnsi="Times New Roman"/>
                <w:sz w:val="24"/>
                <w:szCs w:val="28"/>
              </w:rPr>
              <w:t>4</w:t>
            </w:r>
            <w:r w:rsidR="007F1D6E" w:rsidRPr="00542813">
              <w:rPr>
                <w:rFonts w:ascii="仿宋_GB2312" w:eastAsia="黑体" w:hAnsi="Times New Roman" w:hint="eastAsia"/>
                <w:sz w:val="24"/>
                <w:szCs w:val="28"/>
              </w:rPr>
              <w:t>、</w:t>
            </w:r>
            <w:r w:rsidR="007F1D6E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参与集中的经营者在中国境外设立合营企业</w:t>
            </w:r>
            <w:r w:rsidR="007F1D6E"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，</w:t>
            </w:r>
            <w:r w:rsidR="007F1D6E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合营企业不在中国境内从事经济活动</w:t>
            </w:r>
            <w:r w:rsidR="007F1D6E"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。</w:t>
            </w:r>
          </w:p>
        </w:tc>
      </w:tr>
      <w:tr w:rsidR="00094095" w:rsidRPr="007F1D6E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542813" w:rsidRDefault="00094095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542813" w:rsidRDefault="00DE5472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Wingdings" w:eastAsia="黑体" w:hAnsi="Wingdings" w:cs="Arial"/>
                <w:sz w:val="24"/>
                <w:szCs w:val="21"/>
                <w:lang w:val="en-GB"/>
              </w:rPr>
              <w:t></w:t>
            </w:r>
            <w:r w:rsidR="007F1D6E" w:rsidRPr="00542813">
              <w:rPr>
                <w:rFonts w:ascii="仿宋_GB2312" w:eastAsia="黑体" w:hAnsi="Times New Roman"/>
                <w:sz w:val="24"/>
                <w:szCs w:val="28"/>
              </w:rPr>
              <w:t>5</w:t>
            </w:r>
            <w:r w:rsidR="007F1D6E" w:rsidRPr="00542813">
              <w:rPr>
                <w:rFonts w:ascii="仿宋_GB2312" w:eastAsia="黑体" w:hAnsi="Times New Roman" w:hint="eastAsia"/>
                <w:sz w:val="24"/>
                <w:szCs w:val="28"/>
              </w:rPr>
              <w:t>、</w:t>
            </w:r>
            <w:r w:rsidR="007F1D6E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参与集中的经营者收购境外企业股权或资产的</w:t>
            </w:r>
            <w:r w:rsidR="007F1D6E"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，</w:t>
            </w:r>
            <w:r w:rsidR="007F1D6E"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该境外企业不在中国境内从事经济活动</w:t>
            </w:r>
            <w:r w:rsidR="007F1D6E"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。</w:t>
            </w:r>
          </w:p>
        </w:tc>
      </w:tr>
      <w:tr w:rsidR="00094095" w:rsidRPr="007F1D6E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542813" w:rsidRDefault="00094095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□</w:t>
            </w:r>
            <w:r w:rsidRPr="00542813">
              <w:rPr>
                <w:rFonts w:ascii="仿宋_GB2312" w:eastAsia="黑体" w:hAnsi="Times New Roman"/>
                <w:sz w:val="24"/>
                <w:szCs w:val="28"/>
              </w:rPr>
              <w:t>6</w:t>
            </w:r>
            <w:r w:rsidRPr="00542813">
              <w:rPr>
                <w:rFonts w:ascii="仿宋_GB2312" w:eastAsia="黑体" w:hAnsi="Times New Roman" w:hint="eastAsia"/>
                <w:sz w:val="24"/>
                <w:szCs w:val="28"/>
              </w:rPr>
              <w:t>、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由两个以上的经营者共同控制的合营企业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，</w:t>
            </w: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通过集中被其中一个或一个以上经营者控制</w:t>
            </w:r>
            <w:r w:rsidRPr="00542813">
              <w:rPr>
                <w:rFonts w:ascii="Malgun Gothic Semilight" w:eastAsia="黑体" w:hAnsi="Malgun Gothic Semilight" w:cs="Malgun Gothic Semilight" w:hint="eastAsia"/>
                <w:sz w:val="24"/>
                <w:szCs w:val="28"/>
              </w:rPr>
              <w:t>。</w:t>
            </w:r>
          </w:p>
        </w:tc>
        <w:bookmarkStart w:id="0" w:name="_GoBack"/>
        <w:bookmarkEnd w:id="0"/>
      </w:tr>
      <w:tr w:rsidR="00094095" w:rsidRPr="007F1D6E" w:rsidTr="002F2D60">
        <w:tc>
          <w:tcPr>
            <w:tcW w:w="1809" w:type="dxa"/>
            <w:shd w:val="clear" w:color="auto" w:fill="D9D9D9"/>
          </w:tcPr>
          <w:p w:rsidR="00094095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  <w:r w:rsidRPr="00542813">
              <w:rPr>
                <w:rFonts w:ascii="Microsoft JhengHei" w:eastAsia="黑体" w:hAnsi="Microsoft JhengHei" w:cs="Microsoft JhengHei" w:hint="eastAsia"/>
                <w:sz w:val="24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7F1D6E" w:rsidRPr="00542813" w:rsidRDefault="007F1D6E" w:rsidP="002F2D60">
            <w:pPr>
              <w:spacing w:line="500" w:lineRule="exact"/>
              <w:rPr>
                <w:rFonts w:ascii="仿宋_GB2312" w:eastAsia="黑体" w:hAnsi="Times New Roman"/>
                <w:sz w:val="24"/>
                <w:szCs w:val="28"/>
              </w:rPr>
            </w:pPr>
          </w:p>
        </w:tc>
      </w:tr>
    </w:tbl>
    <w:p w:rsidR="00BB2377" w:rsidRPr="007F1D6E" w:rsidRDefault="00BB2377" w:rsidP="00BB2377">
      <w:pPr>
        <w:snapToGrid w:val="0"/>
        <w:spacing w:line="240" w:lineRule="exact"/>
        <w:jc w:val="left"/>
        <w:rPr>
          <w:rFonts w:ascii="楷体_GB2312" w:eastAsia="黑体" w:hAnsi="宋体"/>
          <w:sz w:val="24"/>
          <w:szCs w:val="24"/>
        </w:rPr>
      </w:pPr>
    </w:p>
    <w:p w:rsidR="005F167B" w:rsidRPr="007F1D6E" w:rsidRDefault="007F1D6E" w:rsidP="00BB2377">
      <w:pPr>
        <w:snapToGrid w:val="0"/>
        <w:spacing w:line="240" w:lineRule="exact"/>
        <w:jc w:val="left"/>
        <w:rPr>
          <w:rFonts w:ascii="楷体_GB2312" w:eastAsia="黑体" w:hAnsi="宋体"/>
          <w:sz w:val="24"/>
          <w:szCs w:val="24"/>
        </w:rPr>
      </w:pPr>
      <w:r w:rsidRPr="007F1D6E">
        <w:rPr>
          <w:rFonts w:ascii="楷体_GB2312" w:eastAsia="黑体" w:hAnsi="宋体" w:hint="eastAsia"/>
          <w:sz w:val="24"/>
          <w:szCs w:val="24"/>
        </w:rPr>
        <w:t>注解：</w:t>
      </w:r>
    </w:p>
    <w:p w:rsidR="005F167B" w:rsidRPr="007F1D6E" w:rsidRDefault="007F1D6E" w:rsidP="00BB2377">
      <w:pPr>
        <w:snapToGrid w:val="0"/>
        <w:spacing w:line="360" w:lineRule="auto"/>
        <w:ind w:firstLineChars="200" w:firstLine="480"/>
        <w:jc w:val="left"/>
        <w:rPr>
          <w:rFonts w:ascii="楷体_GB2312" w:eastAsia="黑体" w:hAnsi="宋体"/>
          <w:sz w:val="24"/>
          <w:szCs w:val="24"/>
        </w:rPr>
      </w:pPr>
      <w:r w:rsidRPr="007F1D6E">
        <w:rPr>
          <w:rFonts w:ascii="楷体_GB2312" w:eastAsia="黑体" w:hAnsi="宋体"/>
          <w:sz w:val="24"/>
          <w:szCs w:val="24"/>
        </w:rPr>
        <w:t>1</w:t>
      </w:r>
      <w:r w:rsidRPr="007F1D6E">
        <w:rPr>
          <w:rFonts w:ascii="楷体_GB2312" w:eastAsia="黑体" w:hAnsi="宋体" w:hint="eastAsia"/>
          <w:sz w:val="24"/>
          <w:szCs w:val="24"/>
        </w:rPr>
        <w:t>、申报方申请简易案件的理由是基于</w:t>
      </w:r>
      <w:r w:rsidRPr="007F1D6E">
        <w:rPr>
          <w:rFonts w:ascii="楷体_GB2312" w:eastAsia="黑体" w:hAnsi="宋体"/>
          <w:sz w:val="24"/>
          <w:szCs w:val="24"/>
        </w:rPr>
        <w:t>1-3</w:t>
      </w:r>
      <w:r w:rsidRPr="007F1D6E">
        <w:rPr>
          <w:rFonts w:ascii="楷体_GB2312" w:eastAsia="黑体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7F1D6E">
        <w:rPr>
          <w:rFonts w:ascii="楷体_GB2312" w:eastAsia="黑体" w:hAnsi="宋体"/>
          <w:sz w:val="24"/>
          <w:szCs w:val="24"/>
        </w:rPr>
        <w:t>5%</w:t>
      </w:r>
      <w:r w:rsidRPr="007F1D6E">
        <w:rPr>
          <w:rFonts w:ascii="楷体_GB2312" w:eastAsia="黑体" w:hAnsi="宋体" w:hint="eastAsia"/>
          <w:sz w:val="24"/>
          <w:szCs w:val="24"/>
        </w:rPr>
        <w:t>。</w:t>
      </w:r>
      <w:r w:rsidRPr="007F1D6E">
        <w:rPr>
          <w:rFonts w:ascii="楷体_GB2312" w:eastAsia="黑体" w:hAnsi="宋体"/>
          <w:sz w:val="24"/>
          <w:szCs w:val="24"/>
        </w:rPr>
        <w:t>1-3</w:t>
      </w:r>
      <w:r w:rsidRPr="007F1D6E">
        <w:rPr>
          <w:rFonts w:ascii="楷体_GB2312" w:eastAsia="黑体" w:hAnsi="宋体" w:hint="eastAsia"/>
          <w:sz w:val="24"/>
          <w:szCs w:val="24"/>
        </w:rPr>
        <w:t>项可以多选，也可单选；</w:t>
      </w:r>
      <w:proofErr w:type="gramStart"/>
      <w:r w:rsidRPr="007F1D6E">
        <w:rPr>
          <w:rFonts w:ascii="楷体_GB2312" w:eastAsia="黑体" w:hAnsi="宋体" w:hint="eastAsia"/>
          <w:sz w:val="24"/>
          <w:szCs w:val="24"/>
        </w:rPr>
        <w:t>没有勾选的</w:t>
      </w:r>
      <w:proofErr w:type="gramEnd"/>
      <w:r w:rsidRPr="007F1D6E">
        <w:rPr>
          <w:rFonts w:ascii="楷体_GB2312" w:eastAsia="黑体" w:hAnsi="宋体" w:hint="eastAsia"/>
          <w:sz w:val="24"/>
          <w:szCs w:val="24"/>
        </w:rPr>
        <w:t>，视为本集中不涉及该类型交易。</w:t>
      </w:r>
    </w:p>
    <w:p w:rsidR="00094095" w:rsidRPr="007F1D6E" w:rsidRDefault="007F1D6E" w:rsidP="00BB2377">
      <w:pPr>
        <w:spacing w:line="360" w:lineRule="auto"/>
        <w:ind w:firstLineChars="200" w:firstLine="480"/>
        <w:rPr>
          <w:rFonts w:ascii="楷体_GB2312" w:eastAsia="黑体" w:hAnsi="Times New Roman"/>
          <w:sz w:val="28"/>
          <w:szCs w:val="28"/>
        </w:rPr>
      </w:pPr>
      <w:r w:rsidRPr="00615420">
        <w:rPr>
          <w:rFonts w:ascii="楷体_GB2312" w:eastAsia="黑体" w:hAnsi="宋体"/>
          <w:sz w:val="24"/>
          <w:szCs w:val="24"/>
        </w:rPr>
        <w:t>2</w:t>
      </w:r>
      <w:r w:rsidRPr="00615420">
        <w:rPr>
          <w:rFonts w:ascii="楷体_GB2312" w:eastAsia="黑体" w:hAnsi="宋体" w:hint="eastAsia"/>
          <w:sz w:val="24"/>
          <w:szCs w:val="24"/>
        </w:rPr>
        <w:t>、申报方申请简易案件的理由是基于第</w:t>
      </w:r>
      <w:r w:rsidRPr="00615420">
        <w:rPr>
          <w:rFonts w:ascii="楷体_GB2312" w:eastAsia="黑体" w:hAnsi="宋体"/>
          <w:sz w:val="24"/>
          <w:szCs w:val="24"/>
        </w:rPr>
        <w:t>4</w:t>
      </w:r>
      <w:r w:rsidRPr="00615420">
        <w:rPr>
          <w:rFonts w:ascii="楷体_GB2312" w:eastAsia="黑体" w:hAnsi="宋体" w:hint="eastAsia"/>
          <w:sz w:val="24"/>
          <w:szCs w:val="24"/>
        </w:rPr>
        <w:t>项、第</w:t>
      </w:r>
      <w:r w:rsidRPr="00615420">
        <w:rPr>
          <w:rFonts w:ascii="楷体_GB2312" w:eastAsia="黑体" w:hAnsi="宋体"/>
          <w:sz w:val="24"/>
          <w:szCs w:val="24"/>
        </w:rPr>
        <w:t>5</w:t>
      </w:r>
      <w:r w:rsidRPr="00615420">
        <w:rPr>
          <w:rFonts w:ascii="楷体_GB2312" w:eastAsia="黑体" w:hAnsi="宋体" w:hint="eastAsia"/>
          <w:sz w:val="24"/>
          <w:szCs w:val="24"/>
        </w:rPr>
        <w:t>项时，无须在备注中说明相关市场和市场份额。</w:t>
      </w:r>
      <w:r w:rsidR="005F167B" w:rsidRPr="007F1D6E">
        <w:rPr>
          <w:rFonts w:ascii="楷体_GB2312" w:eastAsia="黑体" w:hAnsi="宋体" w:hint="eastAsia"/>
          <w:sz w:val="24"/>
          <w:szCs w:val="24"/>
        </w:rPr>
        <w:br/>
      </w:r>
      <w:r w:rsidRPr="007F1D6E">
        <w:rPr>
          <w:rFonts w:ascii="楷体_GB2312" w:eastAsia="黑体" w:hAnsi="宋体"/>
          <w:sz w:val="24"/>
          <w:szCs w:val="24"/>
        </w:rPr>
        <w:t xml:space="preserve">    3</w:t>
      </w:r>
      <w:r w:rsidRPr="007F1D6E">
        <w:rPr>
          <w:rFonts w:ascii="楷体_GB2312" w:eastAsia="黑体" w:hAnsi="宋体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7F1D6E">
        <w:rPr>
          <w:rFonts w:ascii="楷体_GB2312" w:eastAsia="黑体" w:hAnsi="宋体" w:hint="eastAsia"/>
          <w:sz w:val="24"/>
          <w:szCs w:val="24"/>
        </w:rPr>
        <w:t>同时勾选第</w:t>
      </w:r>
      <w:r w:rsidRPr="007F1D6E">
        <w:rPr>
          <w:rFonts w:ascii="楷体_GB2312" w:eastAsia="黑体" w:hAnsi="宋体"/>
          <w:sz w:val="24"/>
          <w:szCs w:val="24"/>
        </w:rPr>
        <w:t>1</w:t>
      </w:r>
      <w:r w:rsidRPr="007F1D6E">
        <w:rPr>
          <w:rFonts w:ascii="楷体_GB2312" w:eastAsia="黑体" w:hAnsi="宋体" w:hint="eastAsia"/>
          <w:sz w:val="24"/>
          <w:szCs w:val="24"/>
        </w:rPr>
        <w:t>项</w:t>
      </w:r>
      <w:proofErr w:type="gramEnd"/>
      <w:r w:rsidRPr="007F1D6E">
        <w:rPr>
          <w:rFonts w:ascii="楷体_GB2312" w:eastAsia="黑体" w:hAnsi="宋体" w:hint="eastAsia"/>
          <w:sz w:val="24"/>
          <w:szCs w:val="24"/>
        </w:rPr>
        <w:t>和第</w:t>
      </w:r>
      <w:r w:rsidRPr="007F1D6E">
        <w:rPr>
          <w:rFonts w:ascii="楷体_GB2312" w:eastAsia="黑体" w:hAnsi="宋体"/>
          <w:sz w:val="24"/>
          <w:szCs w:val="24"/>
        </w:rPr>
        <w:t>6</w:t>
      </w:r>
      <w:r w:rsidRPr="007F1D6E">
        <w:rPr>
          <w:rFonts w:ascii="楷体_GB2312" w:eastAsia="黑体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7F1D6E">
        <w:rPr>
          <w:rFonts w:ascii="楷体_GB2312" w:eastAsia="黑体" w:hAnsi="宋体"/>
          <w:sz w:val="24"/>
          <w:szCs w:val="24"/>
        </w:rPr>
        <w:t>5%</w:t>
      </w:r>
      <w:r w:rsidRPr="007F1D6E">
        <w:rPr>
          <w:rFonts w:ascii="楷体_GB2312" w:eastAsia="黑体" w:hAnsi="宋体" w:hint="eastAsia"/>
          <w:sz w:val="24"/>
          <w:szCs w:val="24"/>
        </w:rPr>
        <w:t>。</w:t>
      </w:r>
    </w:p>
    <w:p w:rsidR="00F87C1F" w:rsidRPr="007F1D6E" w:rsidRDefault="00F87C1F">
      <w:pPr>
        <w:rPr>
          <w:rFonts w:eastAsia="黑体"/>
        </w:rPr>
      </w:pPr>
    </w:p>
    <w:sectPr w:rsidR="00F87C1F" w:rsidRPr="007F1D6E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EF4" w:rsidRDefault="00FD0EF4" w:rsidP="00094095">
      <w:r>
        <w:separator/>
      </w:r>
    </w:p>
  </w:endnote>
  <w:endnote w:type="continuationSeparator" w:id="0">
    <w:p w:rsidR="00FD0EF4" w:rsidRDefault="00FD0EF4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algun Gothic Semilight">
    <w:altName w:val="Batang"/>
    <w:charset w:val="81"/>
    <w:family w:val="swiss"/>
    <w:pitch w:val="variable"/>
    <w:sig w:usb0="00000000" w:usb1="09DF7CFB" w:usb2="00000012" w:usb3="00000000" w:csb0="003E01BD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EF4" w:rsidRDefault="00FD0EF4" w:rsidP="00094095">
      <w:r>
        <w:separator/>
      </w:r>
    </w:p>
  </w:footnote>
  <w:footnote w:type="continuationSeparator" w:id="0">
    <w:p w:rsidR="00FD0EF4" w:rsidRDefault="00FD0EF4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CDD"/>
    <w:multiLevelType w:val="hybridMultilevel"/>
    <w:tmpl w:val="AF2227A0"/>
    <w:lvl w:ilvl="0" w:tplc="EBCC7BE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4900CAF"/>
    <w:multiLevelType w:val="hybridMultilevel"/>
    <w:tmpl w:val="A77E08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52A5"/>
    <w:rsid w:val="00086CC9"/>
    <w:rsid w:val="00094095"/>
    <w:rsid w:val="000B3B62"/>
    <w:rsid w:val="001C354E"/>
    <w:rsid w:val="00245776"/>
    <w:rsid w:val="002639F0"/>
    <w:rsid w:val="00273490"/>
    <w:rsid w:val="0029549A"/>
    <w:rsid w:val="002A3524"/>
    <w:rsid w:val="002D285E"/>
    <w:rsid w:val="002D4908"/>
    <w:rsid w:val="002F2D60"/>
    <w:rsid w:val="00307976"/>
    <w:rsid w:val="00322C9B"/>
    <w:rsid w:val="003432DB"/>
    <w:rsid w:val="00430ECD"/>
    <w:rsid w:val="00462174"/>
    <w:rsid w:val="004B47A0"/>
    <w:rsid w:val="00542813"/>
    <w:rsid w:val="005520FB"/>
    <w:rsid w:val="005E259B"/>
    <w:rsid w:val="005F167B"/>
    <w:rsid w:val="00612454"/>
    <w:rsid w:val="00615420"/>
    <w:rsid w:val="00685C8C"/>
    <w:rsid w:val="007C064E"/>
    <w:rsid w:val="007C53E0"/>
    <w:rsid w:val="007F1D6E"/>
    <w:rsid w:val="00814CDC"/>
    <w:rsid w:val="00827CE5"/>
    <w:rsid w:val="008B1FFB"/>
    <w:rsid w:val="00A128A4"/>
    <w:rsid w:val="00AB6C08"/>
    <w:rsid w:val="00AF32BC"/>
    <w:rsid w:val="00B955F5"/>
    <w:rsid w:val="00BA0750"/>
    <w:rsid w:val="00BB2377"/>
    <w:rsid w:val="00BB5B40"/>
    <w:rsid w:val="00C9068E"/>
    <w:rsid w:val="00C92741"/>
    <w:rsid w:val="00D21777"/>
    <w:rsid w:val="00DE5472"/>
    <w:rsid w:val="00E677B7"/>
    <w:rsid w:val="00ED21B1"/>
    <w:rsid w:val="00EE417B"/>
    <w:rsid w:val="00F66DF2"/>
    <w:rsid w:val="00F87C1F"/>
    <w:rsid w:val="00FA425C"/>
    <w:rsid w:val="00FD0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GB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612454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8B1FFB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8B1FFB"/>
    <w:rPr>
      <w:sz w:val="20"/>
      <w:szCs w:val="20"/>
    </w:rPr>
  </w:style>
  <w:style w:type="character" w:customStyle="1" w:styleId="Char2">
    <w:name w:val="批注文字 Char"/>
    <w:basedOn w:val="a0"/>
    <w:link w:val="aa"/>
    <w:uiPriority w:val="99"/>
    <w:semiHidden/>
    <w:rsid w:val="008B1FFB"/>
    <w:rPr>
      <w:kern w:val="2"/>
      <w:lang w:val="en-US" w:bidi="ar-SA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8B1FFB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8B1FFB"/>
    <w:rPr>
      <w:b/>
      <w:bCs/>
      <w:kern w:val="2"/>
      <w:lang w:val="en-US" w:bidi="ar-SA"/>
    </w:rPr>
  </w:style>
  <w:style w:type="paragraph" w:styleId="ac">
    <w:name w:val="Balloon Text"/>
    <w:basedOn w:val="a"/>
    <w:link w:val="Char4"/>
    <w:uiPriority w:val="99"/>
    <w:semiHidden/>
    <w:unhideWhenUsed/>
    <w:rsid w:val="008B1FFB"/>
    <w:rPr>
      <w:rFonts w:ascii="Tahoma" w:hAnsi="Tahoma" w:cs="Tahoma"/>
      <w:sz w:val="16"/>
      <w:szCs w:val="16"/>
    </w:rPr>
  </w:style>
  <w:style w:type="character" w:customStyle="1" w:styleId="Char4">
    <w:name w:val="批注框文本 Char"/>
    <w:basedOn w:val="a0"/>
    <w:link w:val="ac"/>
    <w:uiPriority w:val="99"/>
    <w:semiHidden/>
    <w:rsid w:val="008B1FFB"/>
    <w:rPr>
      <w:rFonts w:ascii="Tahoma" w:hAnsi="Tahoma" w:cs="Tahoma"/>
      <w:kern w:val="2"/>
      <w:sz w:val="16"/>
      <w:szCs w:val="16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GB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612454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8B1FFB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8B1FFB"/>
    <w:rPr>
      <w:sz w:val="20"/>
      <w:szCs w:val="20"/>
    </w:rPr>
  </w:style>
  <w:style w:type="character" w:customStyle="1" w:styleId="Char2">
    <w:name w:val="批注文字 Char"/>
    <w:basedOn w:val="a0"/>
    <w:link w:val="aa"/>
    <w:uiPriority w:val="99"/>
    <w:semiHidden/>
    <w:rsid w:val="008B1FFB"/>
    <w:rPr>
      <w:kern w:val="2"/>
      <w:lang w:val="en-US" w:bidi="ar-SA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8B1FFB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8B1FFB"/>
    <w:rPr>
      <w:b/>
      <w:bCs/>
      <w:kern w:val="2"/>
      <w:lang w:val="en-US" w:bidi="ar-SA"/>
    </w:rPr>
  </w:style>
  <w:style w:type="paragraph" w:styleId="ac">
    <w:name w:val="Balloon Text"/>
    <w:basedOn w:val="a"/>
    <w:link w:val="Char4"/>
    <w:uiPriority w:val="99"/>
    <w:semiHidden/>
    <w:unhideWhenUsed/>
    <w:rsid w:val="008B1FFB"/>
    <w:rPr>
      <w:rFonts w:ascii="Tahoma" w:hAnsi="Tahoma" w:cs="Tahoma"/>
      <w:sz w:val="16"/>
      <w:szCs w:val="16"/>
    </w:rPr>
  </w:style>
  <w:style w:type="character" w:customStyle="1" w:styleId="Char4">
    <w:name w:val="批注框文本 Char"/>
    <w:basedOn w:val="a0"/>
    <w:link w:val="ac"/>
    <w:uiPriority w:val="99"/>
    <w:semiHidden/>
    <w:rsid w:val="008B1FFB"/>
    <w:rPr>
      <w:rFonts w:ascii="Tahoma" w:hAnsi="Tahoma" w:cs="Tahoma"/>
      <w:kern w:val="2"/>
      <w:sz w:val="16"/>
      <w:szCs w:val="16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5D2A9-91E8-4827-8934-9F19D2604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HU, Qiliang /ZL</cp:lastModifiedBy>
  <cp:revision>12</cp:revision>
  <cp:lastPrinted>2017-11-13T03:32:00Z</cp:lastPrinted>
  <dcterms:created xsi:type="dcterms:W3CDTF">2017-11-08T07:59:00Z</dcterms:created>
  <dcterms:modified xsi:type="dcterms:W3CDTF">2017-11-13T03:32:00Z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A35286942</vt:lpwstr>
  </property>
  <property fmtid="{D5CDD505-2E9C-101B-9397-08002B2CF9AE}" pid="3" name="Version">
    <vt:lpwstr>0.6</vt:lpwstr>
  </property>
  <property fmtid="{D5CDD505-2E9C-101B-9397-08002B2CF9AE}" pid="4" name="Last Modified">
    <vt:lpwstr>09 Nov 2017</vt:lpwstr>
  </property>
  <property fmtid="{D5CDD505-2E9C-101B-9397-08002B2CF9AE}" pid="5" name="Matter Number">
    <vt:lpwstr>L-256115</vt:lpwstr>
  </property>
  <property fmtid="{D5CDD505-2E9C-101B-9397-08002B2CF9AE}" pid="6" name="Client Code">
    <vt:lpwstr>10614686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C:\Users\aqlee\AppData\Local\Linklaters\DocExplorer\Attachments\171109_Torus_PRC Filing_Publicity Form_CHI.docx</vt:lpwstr>
  </property>
  <property fmtid="{D5CDD505-2E9C-101B-9397-08002B2CF9AE}" pid="9" name="ObjectID">
    <vt:lpwstr>09001dc8912d54ab</vt:lpwstr>
  </property>
</Properties>
</file>