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Arial" w:hAnsi="Arial" w:eastAsia="仿宋_GB2312" w:cs="Arial"/>
          <w:sz w:val="30"/>
          <w:szCs w:val="30"/>
        </w:rPr>
      </w:pPr>
    </w:p>
    <w:p>
      <w:pPr>
        <w:spacing w:line="440" w:lineRule="exact"/>
        <w:jc w:val="center"/>
        <w:rPr>
          <w:rFonts w:ascii="Arial" w:hAnsi="Arial" w:eastAsia="仿宋_GB2312" w:cs="Arial"/>
          <w:sz w:val="30"/>
          <w:szCs w:val="30"/>
        </w:rPr>
      </w:pPr>
      <w:r>
        <w:rPr>
          <w:rFonts w:ascii="Arial" w:hAnsi="Arial" w:eastAsia="仿宋_GB2312" w:cs="Arial"/>
          <w:sz w:val="30"/>
          <w:szCs w:val="30"/>
        </w:rPr>
        <w:t>经营者集中简易案件公示表</w:t>
      </w:r>
    </w:p>
    <w:p>
      <w:pPr>
        <w:spacing w:line="440" w:lineRule="exact"/>
        <w:rPr>
          <w:rFonts w:ascii="Arial" w:hAnsi="Arial" w:eastAsia="仿宋_GB2312" w:cs="Arial"/>
          <w:sz w:val="28"/>
          <w:szCs w:val="28"/>
        </w:rPr>
      </w:pPr>
    </w:p>
    <w:tbl>
      <w:tblPr>
        <w:tblStyle w:val="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8D8D8" w:themeFill="background1" w:themeFillShade="D9"/>
          </w:tcPr>
          <w:p>
            <w:pPr>
              <w:spacing w:line="500" w:lineRule="exact"/>
              <w:rPr>
                <w:rFonts w:ascii="Arial" w:hAnsi="Arial" w:eastAsia="仿宋_GB2312" w:cs="Arial"/>
                <w:sz w:val="28"/>
                <w:szCs w:val="28"/>
              </w:rPr>
            </w:pPr>
            <w:r>
              <w:rPr>
                <w:rFonts w:ascii="Arial" w:hAnsi="Arial" w:eastAsia="仿宋_GB2312" w:cs="Arial"/>
                <w:sz w:val="28"/>
                <w:szCs w:val="28"/>
              </w:rPr>
              <w:t>案件名称</w:t>
            </w:r>
          </w:p>
        </w:tc>
        <w:tc>
          <w:tcPr>
            <w:tcW w:w="6949" w:type="dxa"/>
            <w:gridSpan w:val="2"/>
          </w:tcPr>
          <w:p>
            <w:pPr>
              <w:spacing w:line="500" w:lineRule="exact"/>
              <w:rPr>
                <w:rFonts w:ascii="Arial" w:hAnsi="Arial" w:eastAsia="仿宋_GB2312" w:cs="Arial"/>
                <w:sz w:val="28"/>
                <w:szCs w:val="28"/>
              </w:rPr>
            </w:pPr>
            <w:r>
              <w:rPr>
                <w:rFonts w:hint="eastAsia" w:ascii="Arial" w:hAnsi="Arial" w:eastAsia="仿宋_GB2312" w:cs="Arial"/>
                <w:sz w:val="28"/>
                <w:szCs w:val="28"/>
                <w:lang w:val="en-US" w:eastAsia="zh-CN"/>
              </w:rPr>
              <w:t>浙江嘉化能源化工股份有限公司收购浙江美福石油化工有限责任公司股权案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8D8D8" w:themeFill="background1" w:themeFillShade="D9"/>
          </w:tcPr>
          <w:p>
            <w:pPr>
              <w:spacing w:line="500" w:lineRule="exact"/>
              <w:rPr>
                <w:rFonts w:ascii="Arial" w:hAnsi="Arial" w:eastAsia="仿宋_GB2312" w:cs="Arial"/>
                <w:sz w:val="28"/>
                <w:szCs w:val="28"/>
              </w:rPr>
            </w:pPr>
            <w:r>
              <w:rPr>
                <w:rFonts w:ascii="Arial" w:hAnsi="Arial" w:eastAsia="仿宋_GB2312" w:cs="Arial"/>
                <w:sz w:val="28"/>
                <w:szCs w:val="28"/>
              </w:rPr>
              <w:t>交易概况（限200字内）</w:t>
            </w:r>
          </w:p>
        </w:tc>
        <w:tc>
          <w:tcPr>
            <w:tcW w:w="6949" w:type="dxa"/>
            <w:gridSpan w:val="2"/>
          </w:tcPr>
          <w:p>
            <w:pPr>
              <w:spacing w:line="500" w:lineRule="exact"/>
              <w:rPr>
                <w:rFonts w:ascii="Arial" w:hAnsi="Arial" w:eastAsia="仿宋_GB2312" w:cs="Arial"/>
                <w:sz w:val="28"/>
                <w:szCs w:val="28"/>
              </w:rPr>
            </w:pPr>
            <w:r>
              <w:rPr>
                <w:rFonts w:hint="eastAsia" w:ascii="Arial" w:hAnsi="Arial" w:eastAsia="仿宋_GB2312" w:cs="Arial"/>
                <w:sz w:val="28"/>
                <w:szCs w:val="28"/>
                <w:lang w:val="en-US" w:eastAsia="zh-CN"/>
              </w:rPr>
              <w:t>浙江嘉化能源化工股份有限公司</w:t>
            </w:r>
            <w:r>
              <w:rPr>
                <w:rFonts w:ascii="Arial" w:hAnsi="Arial" w:eastAsia="仿宋_GB2312" w:cs="Arial"/>
                <w:sz w:val="28"/>
                <w:szCs w:val="28"/>
              </w:rPr>
              <w:t>（下称“</w:t>
            </w:r>
            <w:r>
              <w:rPr>
                <w:rFonts w:hint="eastAsia" w:ascii="Arial" w:hAnsi="Arial" w:eastAsia="仿宋_GB2312" w:cs="Arial"/>
                <w:b/>
                <w:bCs/>
                <w:sz w:val="28"/>
                <w:szCs w:val="28"/>
                <w:lang w:val="en-US" w:eastAsia="zh-CN"/>
              </w:rPr>
              <w:t>嘉化能源</w:t>
            </w:r>
            <w:r>
              <w:rPr>
                <w:rFonts w:ascii="Arial" w:hAnsi="Arial" w:eastAsia="仿宋_GB2312" w:cs="Arial"/>
                <w:sz w:val="28"/>
                <w:szCs w:val="28"/>
              </w:rPr>
              <w:t>”）</w:t>
            </w:r>
            <w:r>
              <w:rPr>
                <w:rFonts w:hint="eastAsia" w:ascii="Arial" w:hAnsi="Arial" w:eastAsia="仿宋_GB2312" w:cs="Arial"/>
                <w:sz w:val="28"/>
                <w:szCs w:val="28"/>
                <w:lang w:val="en-US" w:eastAsia="zh-CN"/>
              </w:rPr>
              <w:t>拟通过支付现金方式购买浙江美福石油化工有限责任公司（</w:t>
            </w:r>
            <w:r>
              <w:rPr>
                <w:rFonts w:ascii="Arial" w:hAnsi="Arial" w:eastAsia="仿宋_GB2312" w:cs="Arial"/>
                <w:sz w:val="28"/>
                <w:szCs w:val="28"/>
              </w:rPr>
              <w:t>下称“</w:t>
            </w:r>
            <w:r>
              <w:rPr>
                <w:rFonts w:hint="eastAsia" w:ascii="Arial" w:hAnsi="Arial" w:eastAsia="仿宋_GB2312" w:cs="Arial"/>
                <w:b/>
                <w:bCs/>
                <w:sz w:val="28"/>
                <w:szCs w:val="28"/>
                <w:lang w:val="en-US" w:eastAsia="zh-CN"/>
              </w:rPr>
              <w:t>美福石化</w:t>
            </w:r>
            <w:r>
              <w:rPr>
                <w:rFonts w:ascii="Arial" w:hAnsi="Arial" w:eastAsia="仿宋_GB2312" w:cs="Arial"/>
                <w:sz w:val="28"/>
                <w:szCs w:val="28"/>
              </w:rPr>
              <w:t>”</w:t>
            </w:r>
            <w:r>
              <w:rPr>
                <w:rFonts w:hint="eastAsia" w:ascii="Arial" w:hAnsi="Arial" w:eastAsia="仿宋_GB2312" w:cs="Arial"/>
                <w:sz w:val="28"/>
                <w:szCs w:val="28"/>
                <w:lang w:val="en-US" w:eastAsia="zh-CN"/>
              </w:rPr>
              <w:t>）原5名股东----诚信资本、浩明投资、江浩投资、炜宇投资、管浩怡投资持有的美福石化100%股权。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8D8D8" w:themeFill="background1" w:themeFillShade="D9"/>
          </w:tcPr>
          <w:p>
            <w:pPr>
              <w:spacing w:line="500" w:lineRule="exact"/>
              <w:rPr>
                <w:rFonts w:ascii="Arial" w:hAnsi="Arial" w:eastAsia="仿宋_GB2312" w:cs="Arial"/>
                <w:sz w:val="28"/>
                <w:szCs w:val="28"/>
              </w:rPr>
            </w:pPr>
            <w:r>
              <w:rPr>
                <w:rFonts w:ascii="Arial" w:hAnsi="Arial" w:eastAsia="仿宋_GB2312" w:cs="Arial"/>
                <w:sz w:val="28"/>
                <w:szCs w:val="28"/>
              </w:rPr>
              <w:t>参与集中的经营者简介</w:t>
            </w:r>
          </w:p>
        </w:tc>
        <w:tc>
          <w:tcPr>
            <w:tcW w:w="1796" w:type="dxa"/>
          </w:tcPr>
          <w:p>
            <w:pPr>
              <w:pStyle w:val="13"/>
              <w:numPr>
                <w:ilvl w:val="0"/>
                <w:numId w:val="1"/>
              </w:numPr>
              <w:spacing w:line="500" w:lineRule="exact"/>
              <w:ind w:firstLineChars="0"/>
              <w:rPr>
                <w:rFonts w:ascii="Arial" w:hAnsi="Arial" w:eastAsia="仿宋_GB2312" w:cs="Arial"/>
                <w:sz w:val="28"/>
                <w:szCs w:val="28"/>
              </w:rPr>
            </w:pPr>
            <w:r>
              <w:rPr>
                <w:rFonts w:hint="eastAsia" w:ascii="Arial" w:hAnsi="Arial" w:eastAsia="仿宋_GB2312" w:cs="Arial"/>
                <w:sz w:val="28"/>
                <w:szCs w:val="28"/>
                <w:lang w:val="en-US" w:eastAsia="zh-CN"/>
              </w:rPr>
              <w:t>嘉化能源</w:t>
            </w:r>
          </w:p>
        </w:tc>
        <w:tc>
          <w:tcPr>
            <w:tcW w:w="5153" w:type="dxa"/>
          </w:tcPr>
          <w:p>
            <w:pPr>
              <w:widowControl/>
              <w:numPr>
                <w:ilvl w:val="0"/>
                <w:numId w:val="0"/>
              </w:numPr>
              <w:snapToGrid w:val="0"/>
              <w:ind w:leftChars="0" w:firstLine="560" w:firstLineChars="200"/>
              <w:jc w:val="left"/>
              <w:rPr>
                <w:rFonts w:hint="eastAsia" w:ascii="Arial" w:hAnsi="Arial" w:eastAsia="仿宋_GB2312" w:cs="Arial"/>
                <w:sz w:val="28"/>
                <w:szCs w:val="28"/>
                <w:lang w:val="en-US" w:eastAsia="zh-CN"/>
              </w:rPr>
            </w:pPr>
            <w:r>
              <w:rPr>
                <w:rFonts w:hint="eastAsia" w:ascii="Arial" w:hAnsi="Arial" w:eastAsia="仿宋_GB2312" w:cs="Arial"/>
                <w:sz w:val="28"/>
                <w:szCs w:val="28"/>
                <w:lang w:val="en-US" w:eastAsia="zh-CN"/>
              </w:rPr>
              <w:t>一家依据中国法律设立并存续的股份有限公司，中国上海证券交易所A股上市，股票代码：600273。</w:t>
            </w:r>
          </w:p>
          <w:p>
            <w:pPr>
              <w:widowControl/>
              <w:numPr>
                <w:ilvl w:val="0"/>
                <w:numId w:val="0"/>
              </w:numPr>
              <w:snapToGrid w:val="0"/>
              <w:ind w:leftChars="0" w:firstLine="560" w:firstLineChars="200"/>
              <w:jc w:val="left"/>
              <w:rPr>
                <w:rFonts w:ascii="Arial" w:hAnsi="Arial" w:eastAsia="仿宋_GB2312" w:cs="Arial"/>
                <w:sz w:val="28"/>
                <w:szCs w:val="28"/>
              </w:rPr>
            </w:pPr>
            <w:r>
              <w:rPr>
                <w:rFonts w:hint="eastAsia" w:ascii="Arial" w:hAnsi="Arial" w:eastAsia="仿宋_GB2312" w:cs="Arial"/>
                <w:sz w:val="28"/>
                <w:szCs w:val="28"/>
                <w:lang w:val="en-US" w:eastAsia="zh-CN"/>
              </w:rPr>
              <w:t>嘉化能源</w:t>
            </w:r>
            <w:r>
              <w:rPr>
                <w:rFonts w:hint="eastAsia" w:ascii="Arial" w:hAnsi="Arial" w:eastAsia="仿宋_GB2312" w:cs="Arial"/>
                <w:sz w:val="28"/>
                <w:szCs w:val="28"/>
              </w:rPr>
              <w:t>主要以热电联产为核心装置，通过先进高效的汽轮发电机组生产的电和蒸汽，用于公司化工装置的生产，氯碱、硫酸、脂肪醇等化工装置产生的产品和物料供应给园区内其他企业。主要产品通过管道输送给园区内相关企业；对于园区外企业，包括邻对位在内的产品主要通过车船等物流方式销售；境外主要通过港口出口到欧洲、印度等市场。经营的美福码头实施区港联动，滚动开发，为园区企业提供液体化工和相关原材料的装卸及仓储服务。同时通过5家光伏发电子公司经营光伏发电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1796" w:type="dxa"/>
          </w:tcPr>
          <w:p>
            <w:pPr>
              <w:spacing w:line="500" w:lineRule="exact"/>
              <w:rPr>
                <w:rFonts w:hint="eastAsia" w:ascii="Arial" w:hAnsi="Arial" w:eastAsia="仿宋_GB2312" w:cs="Arial"/>
                <w:sz w:val="28"/>
                <w:szCs w:val="28"/>
              </w:rPr>
            </w:pPr>
            <w:r>
              <w:rPr>
                <w:rFonts w:hint="eastAsia" w:ascii="Arial" w:hAnsi="Arial" w:eastAsia="仿宋_GB2312" w:cs="Arial"/>
                <w:sz w:val="28"/>
                <w:szCs w:val="28"/>
                <w:lang w:val="en-US" w:eastAsia="zh-CN"/>
              </w:rPr>
              <w:t>2. 美福石化</w:t>
            </w:r>
          </w:p>
        </w:tc>
        <w:tc>
          <w:tcPr>
            <w:tcW w:w="5153" w:type="dxa"/>
          </w:tcPr>
          <w:p>
            <w:pPr>
              <w:widowControl/>
              <w:numPr>
                <w:ilvl w:val="0"/>
                <w:numId w:val="0"/>
              </w:numPr>
              <w:snapToGrid w:val="0"/>
              <w:ind w:leftChars="0" w:firstLine="560" w:firstLineChars="200"/>
              <w:jc w:val="left"/>
              <w:rPr>
                <w:rFonts w:hint="eastAsia" w:ascii="Arial" w:hAnsi="Arial" w:eastAsia="仿宋_GB2312" w:cs="Arial"/>
                <w:sz w:val="28"/>
                <w:szCs w:val="28"/>
                <w:lang w:val="en-US" w:eastAsia="zh-CN"/>
              </w:rPr>
            </w:pPr>
            <w:r>
              <w:rPr>
                <w:rFonts w:hint="eastAsia" w:ascii="Arial" w:hAnsi="Arial" w:eastAsia="仿宋_GB2312" w:cs="Arial"/>
                <w:sz w:val="28"/>
                <w:szCs w:val="28"/>
                <w:lang w:val="en-US" w:eastAsia="zh-CN"/>
              </w:rPr>
              <w:t>一家依据中国法律设立并存续的有限责任公司。</w:t>
            </w:r>
          </w:p>
          <w:p>
            <w:pPr>
              <w:widowControl/>
              <w:numPr>
                <w:ilvl w:val="0"/>
                <w:numId w:val="0"/>
              </w:numPr>
              <w:snapToGrid w:val="0"/>
              <w:ind w:leftChars="0" w:firstLine="560" w:firstLineChars="200"/>
              <w:jc w:val="left"/>
              <w:rPr>
                <w:rFonts w:hint="eastAsia" w:ascii="Arial" w:hAnsi="Arial" w:eastAsia="仿宋_GB2312" w:cs="Arial"/>
                <w:sz w:val="28"/>
                <w:szCs w:val="28"/>
                <w:lang w:val="en-US" w:eastAsia="zh-CN"/>
              </w:rPr>
            </w:pPr>
            <w:r>
              <w:rPr>
                <w:rFonts w:hint="eastAsia" w:ascii="Arial" w:hAnsi="Arial" w:eastAsia="仿宋_GB2312" w:cs="Arial"/>
                <w:sz w:val="28"/>
                <w:szCs w:val="28"/>
                <w:lang w:val="en-US" w:eastAsia="zh-CN"/>
              </w:rPr>
              <w:t>主要产品和生产过程是原材料(燃料油、石脑油)经码头输料管线进入厂区原料罐区、经原料预处理加温、脱水、脱盐等杂质，然后进重油催化制烯烃、芳烃装置进行催化裂解反应，生成的裂解气、裂解石脑油、裂解轻油，分别经气体分离、制氢、精制、芳烃抽提、三苯分离等装置，分别产出混合二甲苯、热传导液、丙烯、液化石油气等主要化工产品。美福石化原料加工能力80-120万吨/年，所生产出来的部分化工产品供应给嘉兴港区化工新材料园内相邻企业，以实现园区内循环经济、低碳经济发展，部分销往全国各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8D8D8" w:themeFill="background1" w:themeFillShade="D9"/>
          </w:tcPr>
          <w:p>
            <w:pPr>
              <w:spacing w:line="500" w:lineRule="exact"/>
              <w:rPr>
                <w:rFonts w:ascii="Arial" w:hAnsi="Arial" w:eastAsia="仿宋_GB2312" w:cs="Arial"/>
                <w:sz w:val="28"/>
                <w:szCs w:val="28"/>
              </w:rPr>
            </w:pPr>
            <w:r>
              <w:rPr>
                <w:rFonts w:ascii="Arial" w:hAnsi="Arial" w:eastAsia="仿宋_GB2312" w:cs="Arial"/>
                <w:sz w:val="28"/>
                <w:szCs w:val="28"/>
              </w:rPr>
              <w:t>简易案件理由（可多选）</w:t>
            </w: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A8"/>
            </w:r>
            <w:r>
              <w:rPr>
                <w:rFonts w:ascii="Arial" w:hAnsi="Arial" w:eastAsia="仿宋_GB2312" w:cs="Arial"/>
                <w:sz w:val="28"/>
                <w:szCs w:val="28"/>
              </w:rPr>
              <w:t>1. 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A8"/>
            </w:r>
            <w:r>
              <w:rPr>
                <w:rFonts w:ascii="Arial" w:hAnsi="Arial" w:eastAsia="仿宋_GB2312" w:cs="Arial"/>
                <w:sz w:val="28"/>
                <w:szCs w:val="28"/>
              </w:rPr>
              <w:t>2. 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FE"/>
            </w:r>
            <w:r>
              <w:rPr>
                <w:rFonts w:ascii="Arial" w:hAnsi="Arial" w:eastAsia="仿宋_GB2312" w:cs="Arial"/>
                <w:sz w:val="28"/>
                <w:szCs w:val="28"/>
              </w:rPr>
              <w:t>3. 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A8"/>
            </w:r>
            <w:r>
              <w:rPr>
                <w:rFonts w:ascii="Arial" w:hAnsi="Arial" w:eastAsia="仿宋_GB2312" w:cs="Arial"/>
                <w:sz w:val="28"/>
                <w:szCs w:val="28"/>
              </w:rPr>
              <w:t>4. 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A8"/>
            </w:r>
            <w:r>
              <w:rPr>
                <w:rFonts w:ascii="Arial" w:hAnsi="Arial" w:eastAsia="仿宋_GB2312" w:cs="Arial"/>
                <w:sz w:val="28"/>
                <w:szCs w:val="28"/>
              </w:rPr>
              <w:t>5. 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A8"/>
            </w:r>
            <w:r>
              <w:rPr>
                <w:rFonts w:ascii="Arial" w:hAnsi="Arial" w:eastAsia="仿宋_GB2312" w:cs="Arial"/>
                <w:sz w:val="28"/>
                <w:szCs w:val="28"/>
              </w:rPr>
              <w:t>6. 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9" w:hRule="atLeast"/>
        </w:trPr>
        <w:tc>
          <w:tcPr>
            <w:tcW w:w="1809" w:type="dxa"/>
            <w:shd w:val="clear" w:color="auto" w:fill="D8D8D8" w:themeFill="background1" w:themeFillShade="D9"/>
          </w:tcPr>
          <w:p>
            <w:pPr>
              <w:spacing w:line="500" w:lineRule="exact"/>
              <w:rPr>
                <w:rFonts w:ascii="Arial" w:hAnsi="Arial" w:eastAsia="仿宋_GB2312" w:cs="Arial"/>
                <w:sz w:val="28"/>
                <w:szCs w:val="28"/>
              </w:rPr>
            </w:pPr>
            <w:r>
              <w:rPr>
                <w:rFonts w:ascii="Arial" w:hAnsi="Arial" w:eastAsia="仿宋_GB2312" w:cs="Arial"/>
                <w:sz w:val="28"/>
                <w:szCs w:val="28"/>
              </w:rPr>
              <w:t>备注</w:t>
            </w:r>
          </w:p>
        </w:tc>
        <w:tc>
          <w:tcPr>
            <w:tcW w:w="6949" w:type="dxa"/>
            <w:gridSpan w:val="2"/>
          </w:tcPr>
          <w:p>
            <w:pPr>
              <w:pStyle w:val="13"/>
              <w:numPr>
                <w:ilvl w:val="0"/>
                <w:numId w:val="2"/>
              </w:numPr>
              <w:spacing w:line="500" w:lineRule="exact"/>
              <w:ind w:firstLineChars="0"/>
              <w:rPr>
                <w:rFonts w:ascii="Arial" w:hAnsi="Arial" w:eastAsia="仿宋_GB2312" w:cs="Arial"/>
                <w:sz w:val="28"/>
                <w:szCs w:val="28"/>
              </w:rPr>
            </w:pPr>
            <w:r>
              <w:rPr>
                <w:rFonts w:ascii="Arial" w:hAnsi="Arial" w:eastAsia="仿宋_GB2312" w:cs="Arial"/>
                <w:sz w:val="28"/>
                <w:szCs w:val="28"/>
              </w:rPr>
              <w:t>相关产品市场：</w:t>
            </w:r>
          </w:p>
          <w:p>
            <w:pPr>
              <w:pStyle w:val="13"/>
              <w:numPr>
                <w:ilvl w:val="0"/>
                <w:numId w:val="3"/>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val="en-US" w:eastAsia="zh-CN"/>
              </w:rPr>
              <w:t>混合二甲苯生产和供应</w:t>
            </w:r>
            <w:r>
              <w:rPr>
                <w:rFonts w:ascii="Arial" w:hAnsi="Arial" w:eastAsia="仿宋_GB2312" w:cs="Arial"/>
                <w:sz w:val="28"/>
                <w:szCs w:val="28"/>
              </w:rPr>
              <w:t>市场</w:t>
            </w:r>
            <w:r>
              <w:rPr>
                <w:rFonts w:hint="eastAsia" w:ascii="Arial" w:hAnsi="Arial" w:eastAsia="仿宋_GB2312" w:cs="Arial"/>
                <w:sz w:val="28"/>
                <w:szCs w:val="28"/>
                <w:lang w:eastAsia="zh-CN"/>
              </w:rPr>
              <w:t>；</w:t>
            </w:r>
          </w:p>
          <w:p>
            <w:pPr>
              <w:pStyle w:val="13"/>
              <w:numPr>
                <w:ilvl w:val="0"/>
                <w:numId w:val="3"/>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val="en-US" w:eastAsia="zh-CN"/>
              </w:rPr>
              <w:t>热传导液生产和供应市场；</w:t>
            </w:r>
          </w:p>
          <w:p>
            <w:pPr>
              <w:pStyle w:val="13"/>
              <w:numPr>
                <w:ilvl w:val="0"/>
                <w:numId w:val="3"/>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val="en-US" w:eastAsia="zh-CN"/>
              </w:rPr>
              <w:t>丙烯生产和供应市场；</w:t>
            </w:r>
          </w:p>
          <w:p>
            <w:pPr>
              <w:pStyle w:val="13"/>
              <w:numPr>
                <w:ilvl w:val="0"/>
                <w:numId w:val="3"/>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val="en-US" w:eastAsia="zh-CN"/>
              </w:rPr>
              <w:t>液化石油气生产和供应市场</w:t>
            </w:r>
          </w:p>
          <w:p>
            <w:pPr>
              <w:pStyle w:val="13"/>
              <w:numPr>
                <w:ilvl w:val="0"/>
                <w:numId w:val="2"/>
              </w:numPr>
              <w:spacing w:line="500" w:lineRule="exact"/>
              <w:ind w:firstLineChars="0"/>
              <w:rPr>
                <w:rFonts w:ascii="Arial" w:hAnsi="Arial" w:eastAsia="仿宋_GB2312" w:cs="Arial"/>
                <w:sz w:val="28"/>
                <w:szCs w:val="28"/>
              </w:rPr>
            </w:pPr>
            <w:r>
              <w:rPr>
                <w:rFonts w:ascii="Arial" w:hAnsi="Arial" w:eastAsia="仿宋_GB2312" w:cs="Arial"/>
                <w:sz w:val="28"/>
                <w:szCs w:val="28"/>
              </w:rPr>
              <w:t>相关地域市场：中国</w:t>
            </w:r>
          </w:p>
          <w:p>
            <w:pPr>
              <w:pStyle w:val="13"/>
              <w:numPr>
                <w:ilvl w:val="0"/>
                <w:numId w:val="2"/>
              </w:numPr>
              <w:spacing w:line="500" w:lineRule="exact"/>
              <w:ind w:firstLineChars="0"/>
              <w:rPr>
                <w:rFonts w:ascii="Arial" w:hAnsi="Arial" w:eastAsia="仿宋_GB2312" w:cs="Arial"/>
                <w:sz w:val="28"/>
                <w:szCs w:val="28"/>
              </w:rPr>
            </w:pPr>
            <w:r>
              <w:rPr>
                <w:rFonts w:ascii="Arial" w:hAnsi="Arial" w:eastAsia="仿宋_GB2312" w:cs="Arial"/>
                <w:sz w:val="28"/>
                <w:szCs w:val="28"/>
              </w:rPr>
              <w:t>相关市场份额：</w:t>
            </w:r>
          </w:p>
          <w:p>
            <w:pPr>
              <w:pStyle w:val="13"/>
              <w:numPr>
                <w:ilvl w:val="0"/>
                <w:numId w:val="3"/>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val="en-US" w:eastAsia="zh-CN"/>
              </w:rPr>
              <w:t>混合二甲苯生产和供应</w:t>
            </w:r>
            <w:r>
              <w:rPr>
                <w:rFonts w:ascii="Arial" w:hAnsi="Arial" w:eastAsia="仿宋_GB2312" w:cs="Arial"/>
                <w:sz w:val="28"/>
                <w:szCs w:val="28"/>
              </w:rPr>
              <w:t>市场</w:t>
            </w:r>
          </w:p>
          <w:p>
            <w:pPr>
              <w:pStyle w:val="13"/>
              <w:numPr>
                <w:ilvl w:val="0"/>
                <w:numId w:val="0"/>
              </w:numPr>
              <w:spacing w:line="500" w:lineRule="exact"/>
              <w:ind w:leftChars="0"/>
              <w:rPr>
                <w:rFonts w:ascii="Arial" w:hAnsi="Arial" w:eastAsia="仿宋_GB2312" w:cs="Arial"/>
                <w:sz w:val="28"/>
                <w:szCs w:val="28"/>
              </w:rPr>
            </w:pPr>
            <w:r>
              <w:rPr>
                <w:rFonts w:hint="eastAsia" w:ascii="Arial" w:hAnsi="Arial" w:eastAsia="仿宋_GB2312" w:cs="Arial"/>
                <w:sz w:val="28"/>
                <w:szCs w:val="28"/>
                <w:lang w:val="en-US" w:eastAsia="zh-CN"/>
              </w:rPr>
              <w:t>嘉化能源：[0%] 、美福石化</w:t>
            </w:r>
            <w:r>
              <w:rPr>
                <w:rFonts w:hint="eastAsia" w:ascii="Arial" w:hAnsi="Arial" w:eastAsia="仿宋_GB2312" w:cs="Arial"/>
                <w:sz w:val="28"/>
                <w:szCs w:val="28"/>
              </w:rPr>
              <w:t>[0-</w:t>
            </w:r>
            <w:r>
              <w:rPr>
                <w:rFonts w:hint="eastAsia" w:ascii="Arial" w:hAnsi="Arial" w:eastAsia="仿宋_GB2312" w:cs="Arial"/>
                <w:sz w:val="28"/>
                <w:szCs w:val="28"/>
                <w:lang w:val="en-US" w:eastAsia="zh-CN"/>
              </w:rPr>
              <w:t>5</w:t>
            </w:r>
            <w:r>
              <w:rPr>
                <w:rFonts w:hint="eastAsia" w:ascii="Arial" w:hAnsi="Arial" w:eastAsia="仿宋_GB2312" w:cs="Arial"/>
                <w:sz w:val="28"/>
                <w:szCs w:val="28"/>
              </w:rPr>
              <w:t>]%</w:t>
            </w:r>
          </w:p>
          <w:p>
            <w:pPr>
              <w:pStyle w:val="13"/>
              <w:numPr>
                <w:ilvl w:val="0"/>
                <w:numId w:val="3"/>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val="en-US" w:eastAsia="zh-CN"/>
              </w:rPr>
              <w:t>热传导液生产和供应市场</w:t>
            </w:r>
          </w:p>
          <w:p>
            <w:pPr>
              <w:pStyle w:val="13"/>
              <w:numPr>
                <w:ilvl w:val="0"/>
                <w:numId w:val="0"/>
              </w:numPr>
              <w:spacing w:line="500" w:lineRule="exact"/>
              <w:ind w:leftChars="0"/>
              <w:rPr>
                <w:rFonts w:ascii="Arial" w:hAnsi="Arial" w:eastAsia="仿宋_GB2312" w:cs="Arial"/>
                <w:sz w:val="28"/>
                <w:szCs w:val="28"/>
              </w:rPr>
            </w:pPr>
            <w:r>
              <w:rPr>
                <w:rFonts w:hint="eastAsia" w:ascii="Arial" w:hAnsi="Arial" w:eastAsia="仿宋_GB2312" w:cs="Arial"/>
                <w:sz w:val="28"/>
                <w:szCs w:val="28"/>
                <w:lang w:val="en-US" w:eastAsia="zh-CN"/>
              </w:rPr>
              <w:t>嘉化能源：[0%] 、美福石化</w:t>
            </w:r>
            <w:r>
              <w:rPr>
                <w:rFonts w:hint="eastAsia" w:ascii="Arial" w:hAnsi="Arial" w:eastAsia="仿宋_GB2312" w:cs="Arial"/>
                <w:sz w:val="28"/>
                <w:szCs w:val="28"/>
              </w:rPr>
              <w:t>[0-</w:t>
            </w:r>
            <w:r>
              <w:rPr>
                <w:rFonts w:hint="eastAsia" w:ascii="Arial" w:hAnsi="Arial" w:eastAsia="仿宋_GB2312" w:cs="Arial"/>
                <w:sz w:val="28"/>
                <w:szCs w:val="28"/>
                <w:lang w:val="en-US" w:eastAsia="zh-CN"/>
              </w:rPr>
              <w:t>5</w:t>
            </w:r>
            <w:r>
              <w:rPr>
                <w:rFonts w:hint="eastAsia" w:ascii="Arial" w:hAnsi="Arial" w:eastAsia="仿宋_GB2312" w:cs="Arial"/>
                <w:sz w:val="28"/>
                <w:szCs w:val="28"/>
              </w:rPr>
              <w:t>]%</w:t>
            </w:r>
          </w:p>
          <w:p>
            <w:pPr>
              <w:pStyle w:val="13"/>
              <w:numPr>
                <w:ilvl w:val="0"/>
                <w:numId w:val="3"/>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val="en-US" w:eastAsia="zh-CN"/>
              </w:rPr>
              <w:t>丙烯生产和供应市场</w:t>
            </w:r>
          </w:p>
          <w:p>
            <w:pPr>
              <w:pStyle w:val="13"/>
              <w:numPr>
                <w:ilvl w:val="0"/>
                <w:numId w:val="0"/>
              </w:numPr>
              <w:spacing w:line="500" w:lineRule="exact"/>
              <w:ind w:leftChars="0"/>
              <w:rPr>
                <w:rFonts w:ascii="Arial" w:hAnsi="Arial" w:eastAsia="仿宋_GB2312" w:cs="Arial"/>
                <w:sz w:val="28"/>
                <w:szCs w:val="28"/>
              </w:rPr>
            </w:pPr>
            <w:r>
              <w:rPr>
                <w:rFonts w:hint="eastAsia" w:ascii="Arial" w:hAnsi="Arial" w:eastAsia="仿宋_GB2312" w:cs="Arial"/>
                <w:sz w:val="28"/>
                <w:szCs w:val="28"/>
                <w:lang w:val="en-US" w:eastAsia="zh-CN"/>
              </w:rPr>
              <w:t>嘉化能源：[0%] 、美福石化</w:t>
            </w:r>
            <w:r>
              <w:rPr>
                <w:rFonts w:hint="eastAsia" w:ascii="Arial" w:hAnsi="Arial" w:eastAsia="仿宋_GB2312" w:cs="Arial"/>
                <w:sz w:val="28"/>
                <w:szCs w:val="28"/>
              </w:rPr>
              <w:t>[0-</w:t>
            </w:r>
            <w:r>
              <w:rPr>
                <w:rFonts w:hint="eastAsia" w:ascii="Arial" w:hAnsi="Arial" w:eastAsia="仿宋_GB2312" w:cs="Arial"/>
                <w:sz w:val="28"/>
                <w:szCs w:val="28"/>
                <w:lang w:val="en-US" w:eastAsia="zh-CN"/>
              </w:rPr>
              <w:t>5</w:t>
            </w:r>
            <w:r>
              <w:rPr>
                <w:rFonts w:hint="eastAsia" w:ascii="Arial" w:hAnsi="Arial" w:eastAsia="仿宋_GB2312" w:cs="Arial"/>
                <w:sz w:val="28"/>
                <w:szCs w:val="28"/>
              </w:rPr>
              <w:t>]%</w:t>
            </w:r>
          </w:p>
          <w:p>
            <w:pPr>
              <w:pStyle w:val="13"/>
              <w:numPr>
                <w:ilvl w:val="0"/>
                <w:numId w:val="3"/>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val="en-US" w:eastAsia="zh-CN"/>
              </w:rPr>
              <w:t>液化石油气生产和供应市场</w:t>
            </w:r>
          </w:p>
          <w:p>
            <w:pPr>
              <w:pStyle w:val="13"/>
              <w:numPr>
                <w:ilvl w:val="0"/>
                <w:numId w:val="0"/>
              </w:numPr>
              <w:spacing w:line="500" w:lineRule="exact"/>
              <w:ind w:leftChars="0"/>
              <w:rPr>
                <w:rFonts w:ascii="Arial" w:hAnsi="Arial" w:eastAsia="仿宋_GB2312" w:cs="Arial"/>
                <w:sz w:val="28"/>
                <w:szCs w:val="28"/>
              </w:rPr>
            </w:pPr>
            <w:r>
              <w:rPr>
                <w:rFonts w:hint="eastAsia" w:ascii="Arial" w:hAnsi="Arial" w:eastAsia="仿宋_GB2312" w:cs="Arial"/>
                <w:sz w:val="28"/>
                <w:szCs w:val="28"/>
                <w:lang w:val="en-US" w:eastAsia="zh-CN"/>
              </w:rPr>
              <w:t>嘉化能源：[0%] 、美福石化</w:t>
            </w:r>
            <w:r>
              <w:rPr>
                <w:rFonts w:hint="eastAsia" w:ascii="Arial" w:hAnsi="Arial" w:eastAsia="仿宋_GB2312" w:cs="Arial"/>
                <w:sz w:val="28"/>
                <w:szCs w:val="28"/>
              </w:rPr>
              <w:t>[0-</w:t>
            </w:r>
            <w:r>
              <w:rPr>
                <w:rFonts w:hint="eastAsia" w:ascii="Arial" w:hAnsi="Arial" w:eastAsia="仿宋_GB2312" w:cs="Arial"/>
                <w:sz w:val="28"/>
                <w:szCs w:val="28"/>
                <w:lang w:val="en-US" w:eastAsia="zh-CN"/>
              </w:rPr>
              <w:t>5</w:t>
            </w:r>
            <w:r>
              <w:rPr>
                <w:rFonts w:hint="eastAsia" w:ascii="Arial" w:hAnsi="Arial" w:eastAsia="仿宋_GB2312" w:cs="Arial"/>
                <w:sz w:val="28"/>
                <w:szCs w:val="28"/>
              </w:rPr>
              <w:t>]%</w:t>
            </w:r>
          </w:p>
          <w:p>
            <w:pPr>
              <w:pStyle w:val="13"/>
              <w:numPr>
                <w:ilvl w:val="0"/>
                <w:numId w:val="0"/>
              </w:numPr>
              <w:spacing w:line="500" w:lineRule="exact"/>
              <w:ind w:leftChars="0" w:firstLine="560" w:firstLineChars="200"/>
              <w:rPr>
                <w:rFonts w:hint="eastAsia" w:ascii="Arial" w:hAnsi="Arial" w:eastAsia="仿宋_GB2312" w:cs="Arial"/>
                <w:sz w:val="28"/>
                <w:szCs w:val="28"/>
                <w:lang w:val="en-US" w:eastAsia="zh-CN"/>
              </w:rPr>
            </w:pPr>
          </w:p>
          <w:p>
            <w:pPr>
              <w:pStyle w:val="13"/>
              <w:numPr>
                <w:ilvl w:val="0"/>
                <w:numId w:val="0"/>
              </w:numPr>
              <w:spacing w:line="500" w:lineRule="exact"/>
              <w:rPr>
                <w:rFonts w:ascii="Arial" w:hAnsi="Arial" w:eastAsia="仿宋_GB2312" w:cs="Arial"/>
                <w:sz w:val="28"/>
                <w:szCs w:val="28"/>
              </w:rPr>
            </w:pPr>
            <w:r>
              <w:rPr>
                <w:rFonts w:hint="eastAsia" w:ascii="Arial" w:hAnsi="Arial" w:eastAsia="仿宋_GB2312" w:cs="Arial"/>
                <w:sz w:val="28"/>
                <w:szCs w:val="28"/>
                <w:lang w:val="en-US" w:eastAsia="zh-CN"/>
              </w:rPr>
              <w:t>嘉化能源主要产品是无机化工产品，美福石化主要产品是石油化工产品，属于有机化工产品，</w:t>
            </w:r>
            <w:r>
              <w:rPr>
                <w:rFonts w:hint="eastAsia" w:ascii="Arial" w:hAnsi="Arial" w:eastAsia="仿宋_GB2312" w:cs="Arial"/>
                <w:sz w:val="28"/>
                <w:szCs w:val="28"/>
              </w:rPr>
              <w:t>不存在横向重叠</w:t>
            </w:r>
            <w:r>
              <w:rPr>
                <w:rFonts w:hint="eastAsia" w:ascii="Arial" w:hAnsi="Arial" w:eastAsia="仿宋_GB2312" w:cs="Arial"/>
                <w:sz w:val="28"/>
                <w:szCs w:val="28"/>
                <w:lang w:val="en-US" w:eastAsia="zh-CN"/>
              </w:rPr>
              <w:t>和</w:t>
            </w:r>
            <w:bookmarkStart w:id="0" w:name="_GoBack"/>
            <w:bookmarkEnd w:id="0"/>
            <w:r>
              <w:rPr>
                <w:rFonts w:hint="eastAsia" w:ascii="Arial" w:hAnsi="Arial" w:eastAsia="仿宋_GB2312" w:cs="Arial"/>
                <w:sz w:val="28"/>
                <w:szCs w:val="28"/>
              </w:rPr>
              <w:t>纵向关系。</w:t>
            </w:r>
          </w:p>
        </w:tc>
      </w:tr>
    </w:tbl>
    <w:p>
      <w:pPr>
        <w:spacing w:line="500" w:lineRule="exact"/>
        <w:rPr>
          <w:rFonts w:ascii="Arial" w:hAnsi="Arial" w:eastAsia="仿宋_GB2312" w:cs="Arial"/>
          <w:sz w:val="28"/>
          <w:szCs w:val="28"/>
        </w:rPr>
      </w:pPr>
    </w:p>
    <w:p>
      <w:pPr>
        <w:snapToGrid w:val="0"/>
        <w:spacing w:line="360" w:lineRule="auto"/>
        <w:jc w:val="left"/>
        <w:rPr>
          <w:rFonts w:ascii="Arial" w:hAnsi="Arial" w:eastAsia="仿宋_GB2312" w:cs="Arial"/>
          <w:sz w:val="28"/>
          <w:szCs w:val="28"/>
        </w:rPr>
      </w:pPr>
      <w:r>
        <w:rPr>
          <w:rFonts w:ascii="Arial" w:hAnsi="Arial" w:eastAsia="仿宋_GB2312" w:cs="Arial"/>
          <w:sz w:val="28"/>
          <w:szCs w:val="28"/>
        </w:rPr>
        <w:t>注解：</w:t>
      </w:r>
    </w:p>
    <w:p>
      <w:pPr>
        <w:snapToGrid w:val="0"/>
        <w:spacing w:line="360" w:lineRule="auto"/>
        <w:jc w:val="left"/>
        <w:rPr>
          <w:rFonts w:ascii="Arial" w:hAnsi="Arial" w:eastAsia="仿宋_GB2312" w:cs="Arial"/>
          <w:sz w:val="28"/>
          <w:szCs w:val="28"/>
        </w:rPr>
      </w:pPr>
      <w:r>
        <w:rPr>
          <w:rFonts w:ascii="Arial" w:hAnsi="Arial" w:eastAsia="仿宋_GB2312" w:cs="Arial"/>
          <w:sz w:val="28"/>
          <w:szCs w:val="28"/>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rPr>
          <w:rFonts w:ascii="Arial" w:hAnsi="Arial" w:eastAsia="仿宋_GB2312" w:cs="Arial"/>
          <w:sz w:val="28"/>
          <w:szCs w:val="28"/>
        </w:rPr>
      </w:pPr>
      <w:r>
        <w:rPr>
          <w:rFonts w:ascii="Arial" w:hAnsi="Arial" w:eastAsia="仿宋_GB2312" w:cs="Arial"/>
          <w:sz w:val="28"/>
          <w:szCs w:val="28"/>
        </w:rPr>
        <w:t>2、申报方申请简易案件的理由是基于第4项、第5项时，无须在备注中说明相关市场和市场份额。</w:t>
      </w:r>
      <w:r>
        <w:rPr>
          <w:rFonts w:ascii="Arial" w:hAnsi="Arial" w:eastAsia="仿宋_GB2312" w:cs="Arial"/>
          <w:sz w:val="28"/>
          <w:szCs w:val="28"/>
        </w:rPr>
        <w:br w:type="textWrapping"/>
      </w:r>
      <w:r>
        <w:rPr>
          <w:rFonts w:ascii="Arial" w:hAnsi="Arial" w:eastAsia="仿宋_GB2312" w:cs="Arial"/>
          <w:sz w:val="28"/>
          <w:szCs w:val="28"/>
        </w:rPr>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Times New Roman Gras">
    <w:altName w:val="Times New Roman"/>
    <w:panose1 w:val="00000000000000000000"/>
    <w:charset w:val="00"/>
    <w:family w:val="roman"/>
    <w:pitch w:val="default"/>
    <w:sig w:usb0="00000000" w:usb1="00000000" w:usb2="00000000" w:usb3="00000000" w:csb0="00040001"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0002A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Batang">
    <w:altName w:val="Malgun Gothic"/>
    <w:panose1 w:val="02030600000101010101"/>
    <w:charset w:val="81"/>
    <w:family w:val="roman"/>
    <w:pitch w:val="default"/>
    <w:sig w:usb0="00000000" w:usb1="00000000" w:usb2="00000030" w:usb3="00000000" w:csb0="0008009F" w:csb1="00000000"/>
  </w:font>
  <w:font w:name="Guli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swiss"/>
    <w:pitch w:val="default"/>
    <w:sig w:usb0="9000002F" w:usb1="29D77CFB" w:usb2="00000012" w:usb3="00000000" w:csb0="00080001" w:csb1="00000000"/>
  </w:font>
  <w:font w:name="Wingdings 2">
    <w:panose1 w:val="05020102010507070707"/>
    <w:charset w:val="02"/>
    <w:family w:val="roman"/>
    <w:pitch w:val="default"/>
    <w:sig w:usb0="00000000" w:usb1="00000000" w:usb2="00000000" w:usb3="00000000" w:csb0="80000000" w:csb1="00000000"/>
  </w:font>
  <w:font w:name="Arial Bold">
    <w:altName w:val="Arial"/>
    <w:panose1 w:val="020B0704020202020204"/>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CG Times">
    <w:altName w:val="Times New Roman"/>
    <w:panose1 w:val="00000000000000000000"/>
    <w:charset w:val="00"/>
    <w:family w:val="roman"/>
    <w:pitch w:val="default"/>
    <w:sig w:usb0="00000000" w:usb1="00000000" w:usb2="00000000" w:usb3="00000000" w:csb0="00000093" w:csb1="00000000"/>
  </w:font>
  <w:font w:name="MingLiU">
    <w:altName w:val="PMingLiU-ExtB"/>
    <w:panose1 w:val="02020509000000000000"/>
    <w:charset w:val="88"/>
    <w:family w:val="modern"/>
    <w:pitch w:val="default"/>
    <w:sig w:usb0="00000000" w:usb1="00000000" w:usb2="00000016" w:usb3="00000000" w:csb0="00100001" w:csb1="00000000"/>
  </w:font>
  <w:font w:name="AngsanaUPC">
    <w:altName w:val="Times New Roman"/>
    <w:panose1 w:val="02020603050405020304"/>
    <w:charset w:val="00"/>
    <w:family w:val="roman"/>
    <w:pitch w:val="default"/>
    <w:sig w:usb0="00000000" w:usb1="00000000" w:usb2="00000000" w:usb3="00000000" w:csb0="00010001" w:csb1="00000000"/>
  </w:font>
  <w:font w:name="PMingLiU-ExtB">
    <w:panose1 w:val="02020500000000000000"/>
    <w:charset w:val="88"/>
    <w:family w:val="auto"/>
    <w:pitch w:val="default"/>
    <w:sig w:usb0="8000002F" w:usb1="02000008" w:usb2="00000000" w:usb3="00000000" w:csb0="00100001" w:csb1="00000000"/>
  </w:font>
  <w:font w:name="KaiTi_GB2312">
    <w:altName w:val="宋体"/>
    <w:panose1 w:val="02010609060101010101"/>
    <w:charset w:val="86"/>
    <w:family w:val="modern"/>
    <w:pitch w:val="default"/>
    <w:sig w:usb0="00000000" w:usb1="00000000" w:usb2="00000016" w:usb3="00000000" w:csb0="00040001" w:csb1="00000000"/>
  </w:font>
  <w:font w:name="FangSong_GB2312">
    <w:altName w:val="仿宋"/>
    <w:panose1 w:val="02010609060101010101"/>
    <w:charset w:val="86"/>
    <w:family w:val="modern"/>
    <w:pitch w:val="default"/>
    <w:sig w:usb0="00000000" w:usb1="00000000" w:usb2="00000016" w:usb3="00000000" w:csb0="00040001" w:csb1="00000000"/>
  </w:font>
  <w:font w:name="PMingLiU">
    <w:altName w:val="PMingLiU-ExtB"/>
    <w:panose1 w:val="02020500000000000000"/>
    <w:charset w:val="88"/>
    <w:family w:val="roman"/>
    <w:pitch w:val="default"/>
    <w:sig w:usb0="00000000" w:usb1="00000000" w:usb2="00000016" w:usb3="00000000" w:csb0="00100001"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方正大黑简体">
    <w:altName w:val="黑体"/>
    <w:panose1 w:val="02010601030101010101"/>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宋体 ! important">
    <w:altName w:val="宋体"/>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10006FF" w:usb1="4000205B" w:usb2="00000010" w:usb3="00000000" w:csb0="2000019F" w:csb1="00000000"/>
  </w:font>
  <w:font w:name="Microsoft JhengHei UI">
    <w:panose1 w:val="020B0604030504040204"/>
    <w:charset w:val="88"/>
    <w:family w:val="auto"/>
    <w:pitch w:val="default"/>
    <w:sig w:usb0="000002A7" w:usb1="28CF4400" w:usb2="00000016" w:usb3="00000000" w:csb0="00100009" w:csb1="00000000"/>
  </w:font>
  <w:font w:name="Yu Gothic UI Light">
    <w:panose1 w:val="020B0300000000000000"/>
    <w:charset w:val="80"/>
    <w:family w:val="auto"/>
    <w:pitch w:val="default"/>
    <w:sig w:usb0="E00002FF" w:usb1="2AC7FDFF" w:usb2="00000016" w:usb3="00000000" w:csb0="2002009F" w:csb1="00000000"/>
  </w:font>
  <w:font w:name="华文隶书">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彩云">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新宋体">
    <w:panose1 w:val="02010609030101010101"/>
    <w:charset w:val="86"/>
    <w:family w:val="auto"/>
    <w:pitch w:val="default"/>
    <w:sig w:usb0="00000003" w:usb1="288F0000" w:usb2="00000006" w:usb3="00000000" w:csb0="00040001" w:csb1="00000000"/>
  </w:font>
  <w:font w:name="方正兰亭超细黑简体">
    <w:panose1 w:val="02000000000000000000"/>
    <w:charset w:val="86"/>
    <w:family w:val="auto"/>
    <w:pitch w:val="default"/>
    <w:sig w:usb0="00000001" w:usb1="08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隶书">
    <w:panose1 w:val="02010509060101010101"/>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华文琥珀">
    <w:panose1 w:val="02010800040101010101"/>
    <w:charset w:val="86"/>
    <w:family w:val="auto"/>
    <w:pitch w:val="default"/>
    <w:sig w:usb0="00000001" w:usb1="080F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Microsoft JhengHei">
    <w:panose1 w:val="020B0604030504040204"/>
    <w:charset w:val="88"/>
    <w:family w:val="auto"/>
    <w:pitch w:val="default"/>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A4B8E"/>
    <w:multiLevelType w:val="multilevel"/>
    <w:tmpl w:val="19AA4B8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A042DD6"/>
    <w:multiLevelType w:val="singleLevel"/>
    <w:tmpl w:val="5A042DD6"/>
    <w:lvl w:ilvl="0" w:tentative="0">
      <w:start w:val="1"/>
      <w:numFmt w:val="bullet"/>
      <w:lvlText w:val=""/>
      <w:lvlJc w:val="left"/>
      <w:pPr>
        <w:ind w:left="420" w:hanging="420"/>
      </w:pPr>
      <w:rPr>
        <w:rFonts w:hint="default" w:ascii="Wingdings" w:hAnsi="Wingdings"/>
      </w:rPr>
    </w:lvl>
  </w:abstractNum>
  <w:abstractNum w:abstractNumId="2">
    <w:nsid w:val="6ADB2F1C"/>
    <w:multiLevelType w:val="multilevel"/>
    <w:tmpl w:val="6ADB2F1C"/>
    <w:lvl w:ilvl="0" w:tentative="0">
      <w:start w:val="1"/>
      <w:numFmt w:val="decimal"/>
      <w:lvlText w:val="%1."/>
      <w:lvlJc w:val="left"/>
      <w:pPr>
        <w:ind w:left="360" w:hanging="360"/>
      </w:pPr>
      <w:rPr>
        <w:rFonts w:hint="default" w:ascii="Arial" w:hAnsi="Arial" w:eastAsia="仿宋_GB2312" w:cs="Arial"/>
        <w:sz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51C75"/>
    <w:rsid w:val="00094095"/>
    <w:rsid w:val="000D2E60"/>
    <w:rsid w:val="0014290A"/>
    <w:rsid w:val="00150E03"/>
    <w:rsid w:val="00165C5F"/>
    <w:rsid w:val="0016704D"/>
    <w:rsid w:val="00197DF6"/>
    <w:rsid w:val="00260862"/>
    <w:rsid w:val="002B27F6"/>
    <w:rsid w:val="002C5E50"/>
    <w:rsid w:val="002E0FF2"/>
    <w:rsid w:val="00334101"/>
    <w:rsid w:val="00355860"/>
    <w:rsid w:val="00422713"/>
    <w:rsid w:val="00436DE9"/>
    <w:rsid w:val="00462174"/>
    <w:rsid w:val="00470CDE"/>
    <w:rsid w:val="00574C1B"/>
    <w:rsid w:val="005C4AE3"/>
    <w:rsid w:val="006749BD"/>
    <w:rsid w:val="00685A32"/>
    <w:rsid w:val="00774D23"/>
    <w:rsid w:val="00792C5D"/>
    <w:rsid w:val="007E3940"/>
    <w:rsid w:val="0082331E"/>
    <w:rsid w:val="00826CD9"/>
    <w:rsid w:val="009311F6"/>
    <w:rsid w:val="00981297"/>
    <w:rsid w:val="00A36511"/>
    <w:rsid w:val="00A85090"/>
    <w:rsid w:val="00A86B91"/>
    <w:rsid w:val="00A913EF"/>
    <w:rsid w:val="00AC26DC"/>
    <w:rsid w:val="00AC6727"/>
    <w:rsid w:val="00B71B1B"/>
    <w:rsid w:val="00BC2FA1"/>
    <w:rsid w:val="00C05033"/>
    <w:rsid w:val="00C22538"/>
    <w:rsid w:val="00C300C8"/>
    <w:rsid w:val="00CA48F1"/>
    <w:rsid w:val="00CC41E5"/>
    <w:rsid w:val="00D35847"/>
    <w:rsid w:val="00D661C7"/>
    <w:rsid w:val="00DB65D9"/>
    <w:rsid w:val="00DF5E25"/>
    <w:rsid w:val="00E14001"/>
    <w:rsid w:val="00E2092C"/>
    <w:rsid w:val="00F16128"/>
    <w:rsid w:val="00F60E13"/>
    <w:rsid w:val="00F87C1F"/>
    <w:rsid w:val="00FB6E50"/>
    <w:rsid w:val="01FC399A"/>
    <w:rsid w:val="04DA02D1"/>
    <w:rsid w:val="10C5308B"/>
    <w:rsid w:val="15A607E3"/>
    <w:rsid w:val="19B76C07"/>
    <w:rsid w:val="1C8445BD"/>
    <w:rsid w:val="209D42DC"/>
    <w:rsid w:val="27C655F7"/>
    <w:rsid w:val="27FF6B8C"/>
    <w:rsid w:val="33E40FE9"/>
    <w:rsid w:val="3C547D47"/>
    <w:rsid w:val="42206F40"/>
    <w:rsid w:val="434401E4"/>
    <w:rsid w:val="471A69D9"/>
    <w:rsid w:val="53187832"/>
    <w:rsid w:val="53A34442"/>
    <w:rsid w:val="5FE71E03"/>
    <w:rsid w:val="679053FE"/>
    <w:rsid w:val="762400AF"/>
    <w:rsid w:val="7F0A2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uiPriority w:val="1"/>
  </w:style>
  <w:style w:type="table" w:default="1" w:styleId="8">
    <w:name w:val="Normal Table"/>
    <w:unhideWhenUsed/>
    <w:qFormat/>
    <w:uiPriority w:val="99"/>
    <w:tblPr>
      <w:tblLayout w:type="fixed"/>
      <w:tblCellMar>
        <w:top w:w="0" w:type="dxa"/>
        <w:left w:w="108" w:type="dxa"/>
        <w:bottom w:w="0" w:type="dxa"/>
        <w:right w:w="108" w:type="dxa"/>
      </w:tblCellMar>
    </w:tblPr>
  </w:style>
  <w:style w:type="paragraph" w:styleId="2">
    <w:name w:val="endnote text"/>
    <w:basedOn w:val="1"/>
    <w:link w:val="10"/>
    <w:unhideWhenUsed/>
    <w:qFormat/>
    <w:uiPriority w:val="99"/>
    <w:pPr>
      <w:snapToGrid w:val="0"/>
      <w:jc w:val="left"/>
    </w:pPr>
  </w:style>
  <w:style w:type="paragraph" w:styleId="3">
    <w:name w:val="Balloon Text"/>
    <w:basedOn w:val="1"/>
    <w:link w:val="14"/>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endnote reference"/>
    <w:basedOn w:val="6"/>
    <w:unhideWhenUsed/>
    <w:uiPriority w:val="99"/>
    <w:rPr>
      <w:vertAlign w:val="superscript"/>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0">
    <w:name w:val="尾注文本 Char"/>
    <w:basedOn w:val="6"/>
    <w:link w:val="2"/>
    <w:semiHidden/>
    <w:qFormat/>
    <w:uiPriority w:val="99"/>
  </w:style>
  <w:style w:type="character" w:customStyle="1" w:styleId="11">
    <w:name w:val="页眉 Char"/>
    <w:basedOn w:val="6"/>
    <w:link w:val="5"/>
    <w:uiPriority w:val="99"/>
    <w:rPr>
      <w:sz w:val="18"/>
      <w:szCs w:val="18"/>
    </w:rPr>
  </w:style>
  <w:style w:type="character" w:customStyle="1" w:styleId="12">
    <w:name w:val="页脚 Char"/>
    <w:basedOn w:val="6"/>
    <w:link w:val="4"/>
    <w:uiPriority w:val="99"/>
    <w:rPr>
      <w:sz w:val="18"/>
      <w:szCs w:val="18"/>
    </w:rPr>
  </w:style>
  <w:style w:type="paragraph" w:customStyle="1" w:styleId="13">
    <w:name w:val="List Paragraph"/>
    <w:basedOn w:val="1"/>
    <w:qFormat/>
    <w:uiPriority w:val="34"/>
    <w:pPr>
      <w:ind w:firstLine="420" w:firstLineChars="200"/>
    </w:pPr>
  </w:style>
  <w:style w:type="character" w:customStyle="1" w:styleId="14">
    <w:name w:val="批注框文本 Char"/>
    <w:basedOn w:val="6"/>
    <w:link w:val="3"/>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173</Words>
  <Characters>990</Characters>
  <Lines>8</Lines>
  <Paragraphs>2</Paragraphs>
  <ScaleCrop>false</ScaleCrop>
  <LinksUpToDate>false</LinksUpToDate>
  <CharactersWithSpaces>1161</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2017-10-13T01:08:00Z</dcterms:created>
  <dc:creator>dell</dc:creator>
  <cp:lastModifiedBy>ladyl</cp:lastModifiedBy>
  <cp:lastPrinted>2016-12-23T09:19:00Z</cp:lastPrinted>
  <dcterms:modified xsi:type="dcterms:W3CDTF">2018-01-26T20:56:03Z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