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Times New Roman" w:hAnsi="Times New Roman" w:eastAsia="华文楷体"/>
          <w:b/>
          <w:sz w:val="30"/>
          <w:szCs w:val="30"/>
        </w:rPr>
      </w:pPr>
      <w:bookmarkStart w:id="0" w:name="_GoBack"/>
      <w:r>
        <w:rPr>
          <w:rFonts w:ascii="Times New Roman" w:hAnsi="Times New Roman" w:eastAsia="华文楷体"/>
          <w:b/>
          <w:sz w:val="30"/>
          <w:szCs w:val="30"/>
        </w:rPr>
        <w:t>经营者集中简易案件公示表</w:t>
      </w:r>
    </w:p>
    <w:bookmarkEnd w:id="0"/>
    <w:p>
      <w:pPr>
        <w:spacing w:line="440" w:lineRule="exact"/>
        <w:rPr>
          <w:rFonts w:ascii="Times New Roman" w:hAnsi="Times New Roman" w:eastAsia="华文楷体"/>
          <w:sz w:val="28"/>
          <w:szCs w:val="28"/>
        </w:rPr>
      </w:pPr>
    </w:p>
    <w:p>
      <w:pPr>
        <w:spacing w:line="440" w:lineRule="exact"/>
        <w:ind w:firstLine="845" w:firstLineChars="302"/>
        <w:rPr>
          <w:rFonts w:ascii="Times New Roman" w:hAnsi="Times New Roman" w:eastAsia="华文楷体"/>
          <w:sz w:val="28"/>
          <w:szCs w:val="28"/>
        </w:rPr>
      </w:pPr>
    </w:p>
    <w:tbl>
      <w:tblPr>
        <w:tblStyle w:val="8"/>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top"/>
          </w:tcPr>
          <w:p>
            <w:pPr>
              <w:adjustRightInd w:val="0"/>
              <w:snapToGrid w:val="0"/>
              <w:spacing w:before="120" w:after="120" w:line="276" w:lineRule="auto"/>
              <w:rPr>
                <w:rFonts w:ascii="Times New Roman" w:hAnsi="Times New Roman" w:eastAsia="华文楷体"/>
                <w:sz w:val="24"/>
                <w:szCs w:val="24"/>
              </w:rPr>
            </w:pPr>
            <w:r>
              <w:rPr>
                <w:rFonts w:ascii="Times New Roman" w:hAnsi="Times New Roman" w:eastAsia="华文楷体"/>
                <w:sz w:val="24"/>
                <w:szCs w:val="24"/>
              </w:rPr>
              <w:t>案件名称</w:t>
            </w:r>
          </w:p>
        </w:tc>
        <w:tc>
          <w:tcPr>
            <w:tcW w:w="6949" w:type="dxa"/>
            <w:gridSpan w:val="2"/>
            <w:vAlign w:val="top"/>
          </w:tcPr>
          <w:p>
            <w:pPr>
              <w:adjustRightInd w:val="0"/>
              <w:snapToGrid w:val="0"/>
              <w:spacing w:before="120" w:after="120" w:line="276" w:lineRule="auto"/>
              <w:rPr>
                <w:rFonts w:ascii="Times New Roman" w:hAnsi="Times New Roman" w:eastAsia="华文楷体"/>
                <w:sz w:val="24"/>
                <w:szCs w:val="24"/>
              </w:rPr>
            </w:pPr>
            <w:bookmarkStart w:id="1" w:name="_GoBack"/>
            <w:r>
              <w:rPr>
                <w:rFonts w:hint="eastAsia" w:ascii="Times New Roman" w:hAnsi="Times New Roman" w:eastAsia="华文楷体"/>
                <w:sz w:val="24"/>
                <w:szCs w:val="24"/>
              </w:rPr>
              <w:t>史密斯英特康集团公司与四川华丰企业集团有限公司新设合营企业案</w:t>
            </w:r>
            <w:bookmarkEnd w:id="1"/>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3" w:hRule="atLeast"/>
        </w:trPr>
        <w:tc>
          <w:tcPr>
            <w:tcW w:w="1809" w:type="dxa"/>
            <w:shd w:val="clear" w:color="auto" w:fill="D9D9D9"/>
            <w:vAlign w:val="top"/>
          </w:tcPr>
          <w:p>
            <w:pPr>
              <w:adjustRightInd w:val="0"/>
              <w:snapToGrid w:val="0"/>
              <w:spacing w:before="120" w:after="120" w:line="276" w:lineRule="auto"/>
              <w:rPr>
                <w:rFonts w:ascii="Times New Roman" w:hAnsi="Times New Roman" w:eastAsia="华文楷体"/>
                <w:sz w:val="24"/>
                <w:szCs w:val="24"/>
              </w:rPr>
            </w:pPr>
            <w:r>
              <w:rPr>
                <w:rFonts w:ascii="Times New Roman" w:hAnsi="Times New Roman" w:eastAsia="华文楷体"/>
                <w:sz w:val="24"/>
                <w:szCs w:val="24"/>
              </w:rPr>
              <w:t>交易概况（限200字内）</w:t>
            </w:r>
          </w:p>
        </w:tc>
        <w:tc>
          <w:tcPr>
            <w:tcW w:w="6949" w:type="dxa"/>
            <w:gridSpan w:val="2"/>
            <w:vAlign w:val="top"/>
          </w:tcPr>
          <w:p>
            <w:pPr>
              <w:adjustRightInd w:val="0"/>
              <w:snapToGrid w:val="0"/>
              <w:spacing w:before="120" w:after="120" w:line="276" w:lineRule="auto"/>
              <w:rPr>
                <w:rFonts w:hint="eastAsia" w:ascii="Times New Roman" w:hAnsi="Times New Roman" w:eastAsia="华文楷体"/>
                <w:sz w:val="24"/>
                <w:szCs w:val="24"/>
                <w:lang w:val="en-GB"/>
              </w:rPr>
            </w:pPr>
            <w:r>
              <w:rPr>
                <w:rFonts w:hint="eastAsia" w:ascii="Times New Roman" w:hAnsi="Times New Roman" w:eastAsia="华文楷体"/>
                <w:sz w:val="24"/>
                <w:szCs w:val="24"/>
              </w:rPr>
              <w:t>本交易涉及史密斯英特康集团公司（“</w:t>
            </w:r>
            <w:r>
              <w:rPr>
                <w:rFonts w:hint="eastAsia" w:ascii="Times New Roman" w:hAnsi="Times New Roman" w:eastAsia="华文楷体"/>
                <w:b/>
                <w:sz w:val="24"/>
                <w:szCs w:val="24"/>
              </w:rPr>
              <w:t>史密斯英特康</w:t>
            </w:r>
            <w:r>
              <w:rPr>
                <w:rFonts w:hint="eastAsia" w:ascii="Times New Roman" w:hAnsi="Times New Roman" w:eastAsia="华文楷体"/>
                <w:sz w:val="24"/>
                <w:szCs w:val="24"/>
              </w:rPr>
              <w:t>”）和四川华丰企业集团有限公司（“</w:t>
            </w:r>
            <w:r>
              <w:rPr>
                <w:rFonts w:hint="eastAsia" w:ascii="Times New Roman" w:hAnsi="Times New Roman" w:eastAsia="华文楷体"/>
                <w:b/>
                <w:sz w:val="24"/>
                <w:szCs w:val="24"/>
              </w:rPr>
              <w:t>华丰</w:t>
            </w:r>
            <w:r>
              <w:rPr>
                <w:rFonts w:hint="eastAsia" w:ascii="Times New Roman" w:hAnsi="Times New Roman" w:eastAsia="华文楷体"/>
                <w:sz w:val="24"/>
                <w:szCs w:val="24"/>
              </w:rPr>
              <w:t>”）成立一家合营企业。合营企业将根据《中华人民共和国中外合资经营企业法》设立，企业形式为有限责任公司。合营企业将从事连接器相关业务。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adjustRightInd w:val="0"/>
              <w:snapToGrid w:val="0"/>
              <w:spacing w:before="120" w:after="120" w:line="276" w:lineRule="auto"/>
              <w:jc w:val="left"/>
              <w:rPr>
                <w:rFonts w:ascii="Times New Roman" w:hAnsi="Times New Roman" w:eastAsia="华文楷体"/>
                <w:sz w:val="24"/>
                <w:szCs w:val="24"/>
              </w:rPr>
            </w:pPr>
            <w:r>
              <w:rPr>
                <w:rFonts w:ascii="Times New Roman" w:hAnsi="Times New Roman" w:eastAsia="华文楷体"/>
                <w:sz w:val="24"/>
                <w:szCs w:val="24"/>
              </w:rPr>
              <w:t>参与集中的经营者简介</w:t>
            </w:r>
          </w:p>
        </w:tc>
        <w:tc>
          <w:tcPr>
            <w:tcW w:w="1796" w:type="dxa"/>
            <w:vAlign w:val="center"/>
          </w:tcPr>
          <w:p>
            <w:pPr>
              <w:adjustRightInd w:val="0"/>
              <w:snapToGrid w:val="0"/>
              <w:spacing w:before="120" w:after="120" w:line="276" w:lineRule="auto"/>
              <w:jc w:val="left"/>
              <w:rPr>
                <w:rFonts w:ascii="Times New Roman" w:hAnsi="Times New Roman" w:eastAsia="华文楷体"/>
                <w:sz w:val="24"/>
                <w:szCs w:val="24"/>
              </w:rPr>
            </w:pPr>
            <w:r>
              <w:rPr>
                <w:rFonts w:hint="eastAsia" w:ascii="Times New Roman" w:hAnsi="Times New Roman" w:eastAsia="华文楷体"/>
                <w:sz w:val="24"/>
                <w:szCs w:val="24"/>
              </w:rPr>
              <w:t>史密斯英特康</w:t>
            </w:r>
          </w:p>
        </w:tc>
        <w:tc>
          <w:tcPr>
            <w:tcW w:w="5153" w:type="dxa"/>
            <w:vAlign w:val="top"/>
          </w:tcPr>
          <w:p>
            <w:pPr>
              <w:adjustRightInd w:val="0"/>
              <w:snapToGrid w:val="0"/>
              <w:spacing w:before="120" w:after="120" w:line="276" w:lineRule="auto"/>
              <w:rPr>
                <w:rFonts w:ascii="Times New Roman" w:hAnsi="Times New Roman" w:eastAsia="华文楷体"/>
                <w:sz w:val="24"/>
                <w:szCs w:val="24"/>
              </w:rPr>
            </w:pPr>
            <w:r>
              <w:rPr>
                <w:rFonts w:hint="eastAsia" w:ascii="Times New Roman" w:hAnsi="Times New Roman" w:eastAsia="华文楷体"/>
                <w:bCs/>
                <w:sz w:val="24"/>
                <w:szCs w:val="24"/>
              </w:rPr>
              <w:t>史密斯英特康隶属于史密斯集团公司，其为航空航天、铁路、医疗、半导体测试和其它终端市场提供性能可靠的创新连接解决方案。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205" w:hRule="atLeast"/>
        </w:trPr>
        <w:tc>
          <w:tcPr>
            <w:tcW w:w="1809" w:type="dxa"/>
            <w:vMerge w:val="continue"/>
            <w:shd w:val="clear" w:color="auto" w:fill="D9D9D9"/>
            <w:vAlign w:val="top"/>
          </w:tcPr>
          <w:p>
            <w:pPr>
              <w:adjustRightInd w:val="0"/>
              <w:snapToGrid w:val="0"/>
              <w:spacing w:after="200" w:line="276" w:lineRule="auto"/>
              <w:rPr>
                <w:rFonts w:ascii="Times New Roman" w:hAnsi="Times New Roman" w:eastAsia="华文楷体"/>
                <w:sz w:val="24"/>
                <w:szCs w:val="24"/>
              </w:rPr>
            </w:pPr>
          </w:p>
        </w:tc>
        <w:tc>
          <w:tcPr>
            <w:tcW w:w="1796" w:type="dxa"/>
            <w:vAlign w:val="center"/>
          </w:tcPr>
          <w:p>
            <w:pPr>
              <w:adjustRightInd w:val="0"/>
              <w:snapToGrid w:val="0"/>
              <w:spacing w:before="120" w:after="120" w:line="276" w:lineRule="auto"/>
              <w:jc w:val="left"/>
              <w:rPr>
                <w:rFonts w:ascii="Times New Roman" w:hAnsi="Times New Roman" w:eastAsia="华文楷体"/>
                <w:sz w:val="24"/>
                <w:szCs w:val="24"/>
              </w:rPr>
            </w:pPr>
            <w:r>
              <w:rPr>
                <w:rFonts w:hint="eastAsia" w:ascii="Times New Roman" w:hAnsi="Times New Roman" w:eastAsia="华文楷体"/>
                <w:sz w:val="24"/>
                <w:szCs w:val="24"/>
              </w:rPr>
              <w:t>华丰</w:t>
            </w:r>
          </w:p>
        </w:tc>
        <w:tc>
          <w:tcPr>
            <w:tcW w:w="5153" w:type="dxa"/>
            <w:vAlign w:val="top"/>
          </w:tcPr>
          <w:p>
            <w:pPr>
              <w:adjustRightInd w:val="0"/>
              <w:snapToGrid w:val="0"/>
              <w:spacing w:before="120" w:after="120" w:line="276" w:lineRule="auto"/>
              <w:rPr>
                <w:rFonts w:ascii="Times New Roman" w:hAnsi="Times New Roman" w:eastAsia="华文楷体"/>
                <w:sz w:val="24"/>
                <w:szCs w:val="24"/>
              </w:rPr>
            </w:pPr>
            <w:r>
              <w:rPr>
                <w:rFonts w:hint="eastAsia" w:ascii="Times New Roman" w:hAnsi="Times New Roman" w:eastAsia="华文楷体"/>
                <w:sz w:val="24"/>
                <w:szCs w:val="24"/>
              </w:rPr>
              <w:t>华丰从事连接器及零部件的研发、生产和销售业务，形成了以通讯及消费电子、工业为主的产品体系，为航海、铁路和运输、无线电通讯、汽车、新能源等多个领域提供互联产品和解决方案。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adjustRightInd w:val="0"/>
              <w:snapToGrid w:val="0"/>
              <w:spacing w:before="120" w:after="120" w:line="276" w:lineRule="auto"/>
              <w:jc w:val="left"/>
              <w:rPr>
                <w:rFonts w:ascii="Times New Roman" w:hAnsi="Times New Roman" w:eastAsia="华文楷体"/>
                <w:sz w:val="22"/>
              </w:rPr>
            </w:pPr>
            <w:r>
              <w:rPr>
                <w:rFonts w:ascii="Times New Roman" w:hAnsi="Times New Roman" w:eastAsia="华文楷体"/>
                <w:sz w:val="24"/>
                <w:szCs w:val="24"/>
              </w:rPr>
              <w:t>简易案件理由（可以单选，也可以多选）</w:t>
            </w:r>
          </w:p>
        </w:tc>
        <w:tc>
          <w:tcPr>
            <w:tcW w:w="6949" w:type="dxa"/>
            <w:gridSpan w:val="2"/>
            <w:vAlign w:val="top"/>
          </w:tcPr>
          <w:p>
            <w:pPr>
              <w:adjustRightInd w:val="0"/>
              <w:snapToGrid w:val="0"/>
              <w:spacing w:after="120" w:line="276" w:lineRule="auto"/>
              <w:rPr>
                <w:rFonts w:ascii="Times New Roman" w:hAnsi="Times New Roman" w:eastAsia="华文楷体"/>
                <w:sz w:val="24"/>
                <w:szCs w:val="24"/>
              </w:rPr>
            </w:pPr>
            <w:r>
              <w:rPr>
                <w:rFonts w:ascii="Times New Roman" w:hAnsi="Times New Roman" w:eastAsia="华文楷体"/>
                <w:sz w:val="24"/>
                <w:szCs w:val="24"/>
              </w:rPr>
              <w:sym w:font="Wingdings" w:char="F0FE"/>
            </w:r>
            <w:r>
              <w:rPr>
                <w:rFonts w:ascii="Times New Roman" w:hAnsi="Times New Roman" w:eastAsia="华文楷体"/>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809" w:type="dxa"/>
            <w:vMerge w:val="continue"/>
            <w:shd w:val="clear" w:color="auto" w:fill="D9D9D9"/>
            <w:vAlign w:val="top"/>
          </w:tcPr>
          <w:p>
            <w:pPr>
              <w:spacing w:line="500" w:lineRule="exact"/>
              <w:rPr>
                <w:rFonts w:ascii="Times New Roman" w:hAnsi="Times New Roman" w:eastAsia="华文楷体"/>
                <w:sz w:val="22"/>
              </w:rPr>
            </w:pPr>
          </w:p>
        </w:tc>
        <w:tc>
          <w:tcPr>
            <w:tcW w:w="6949" w:type="dxa"/>
            <w:gridSpan w:val="2"/>
            <w:vAlign w:val="top"/>
          </w:tcPr>
          <w:p>
            <w:pPr>
              <w:adjustRightInd w:val="0"/>
              <w:snapToGrid w:val="0"/>
              <w:spacing w:after="120" w:line="276" w:lineRule="auto"/>
              <w:rPr>
                <w:rFonts w:ascii="Times New Roman" w:hAnsi="Times New Roman" w:eastAsia="华文楷体"/>
                <w:sz w:val="24"/>
                <w:szCs w:val="24"/>
              </w:rPr>
            </w:pPr>
            <w:r>
              <w:rPr>
                <w:rFonts w:ascii="Times New Roman" w:hAnsi="Times New Roman" w:eastAsia="华文楷体"/>
                <w:sz w:val="32"/>
                <w:szCs w:val="32"/>
              </w:rPr>
              <w:t>□</w:t>
            </w:r>
            <w:r>
              <w:rPr>
                <w:rFonts w:ascii="Times New Roman" w:hAnsi="Times New Roman" w:eastAsia="华文楷体"/>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809" w:type="dxa"/>
            <w:vMerge w:val="continue"/>
            <w:shd w:val="clear" w:color="auto" w:fill="D9D9D9"/>
            <w:vAlign w:val="top"/>
          </w:tcPr>
          <w:p>
            <w:pPr>
              <w:spacing w:line="500" w:lineRule="exact"/>
              <w:rPr>
                <w:rFonts w:ascii="Times New Roman" w:hAnsi="Times New Roman" w:eastAsia="华文楷体"/>
                <w:sz w:val="22"/>
              </w:rPr>
            </w:pPr>
          </w:p>
        </w:tc>
        <w:tc>
          <w:tcPr>
            <w:tcW w:w="6949" w:type="dxa"/>
            <w:gridSpan w:val="2"/>
            <w:vAlign w:val="top"/>
          </w:tcPr>
          <w:p>
            <w:pPr>
              <w:adjustRightInd w:val="0"/>
              <w:snapToGrid w:val="0"/>
              <w:spacing w:after="120" w:line="276" w:lineRule="auto"/>
              <w:rPr>
                <w:rFonts w:ascii="Times New Roman" w:hAnsi="Times New Roman" w:eastAsia="华文楷体"/>
                <w:sz w:val="24"/>
                <w:szCs w:val="24"/>
              </w:rPr>
            </w:pPr>
            <w:r>
              <w:rPr>
                <w:rFonts w:ascii="Times New Roman" w:hAnsi="Times New Roman" w:eastAsia="华文楷体"/>
                <w:sz w:val="32"/>
                <w:szCs w:val="32"/>
              </w:rPr>
              <w:t>□</w:t>
            </w:r>
            <w:r>
              <w:rPr>
                <w:rFonts w:ascii="Times New Roman" w:hAnsi="Times New Roman" w:eastAsia="华文楷体"/>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809" w:type="dxa"/>
            <w:vMerge w:val="continue"/>
            <w:shd w:val="clear" w:color="auto" w:fill="D9D9D9"/>
            <w:vAlign w:val="top"/>
          </w:tcPr>
          <w:p>
            <w:pPr>
              <w:spacing w:line="500" w:lineRule="exact"/>
              <w:rPr>
                <w:rFonts w:ascii="Times New Roman" w:hAnsi="Times New Roman" w:eastAsia="华文楷体"/>
                <w:sz w:val="22"/>
              </w:rPr>
            </w:pPr>
          </w:p>
        </w:tc>
        <w:tc>
          <w:tcPr>
            <w:tcW w:w="6949" w:type="dxa"/>
            <w:gridSpan w:val="2"/>
            <w:vAlign w:val="top"/>
          </w:tcPr>
          <w:p>
            <w:pPr>
              <w:adjustRightInd w:val="0"/>
              <w:snapToGrid w:val="0"/>
              <w:spacing w:after="120" w:line="276" w:lineRule="auto"/>
              <w:rPr>
                <w:rFonts w:ascii="Times New Roman" w:hAnsi="Times New Roman" w:eastAsia="华文楷体"/>
                <w:sz w:val="24"/>
                <w:szCs w:val="24"/>
              </w:rPr>
            </w:pPr>
            <w:r>
              <w:rPr>
                <w:rFonts w:ascii="Times New Roman" w:hAnsi="Times New Roman" w:eastAsia="华文楷体"/>
                <w:sz w:val="32"/>
                <w:szCs w:val="32"/>
              </w:rPr>
              <w:t>□</w:t>
            </w:r>
            <w:r>
              <w:rPr>
                <w:rFonts w:ascii="Times New Roman" w:hAnsi="Times New Roman" w:eastAsia="华文楷体"/>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809" w:type="dxa"/>
            <w:vMerge w:val="continue"/>
            <w:shd w:val="clear" w:color="auto" w:fill="D9D9D9"/>
            <w:vAlign w:val="top"/>
          </w:tcPr>
          <w:p>
            <w:pPr>
              <w:spacing w:line="500" w:lineRule="exact"/>
              <w:rPr>
                <w:rFonts w:ascii="Times New Roman" w:hAnsi="Times New Roman" w:eastAsia="华文楷体"/>
                <w:sz w:val="22"/>
              </w:rPr>
            </w:pPr>
          </w:p>
        </w:tc>
        <w:tc>
          <w:tcPr>
            <w:tcW w:w="6949" w:type="dxa"/>
            <w:gridSpan w:val="2"/>
            <w:vAlign w:val="top"/>
          </w:tcPr>
          <w:p>
            <w:pPr>
              <w:adjustRightInd w:val="0"/>
              <w:snapToGrid w:val="0"/>
              <w:spacing w:after="120" w:line="276" w:lineRule="auto"/>
              <w:rPr>
                <w:rFonts w:ascii="Times New Roman" w:hAnsi="Times New Roman" w:eastAsia="华文楷体"/>
                <w:sz w:val="24"/>
                <w:szCs w:val="24"/>
              </w:rPr>
            </w:pPr>
            <w:r>
              <w:rPr>
                <w:rFonts w:ascii="Times New Roman" w:hAnsi="Times New Roman" w:eastAsia="华文楷体"/>
                <w:sz w:val="32"/>
                <w:szCs w:val="32"/>
              </w:rPr>
              <w:t>□</w:t>
            </w:r>
            <w:r>
              <w:rPr>
                <w:rFonts w:ascii="Times New Roman" w:hAnsi="Times New Roman" w:eastAsia="华文楷体"/>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809" w:type="dxa"/>
            <w:vMerge w:val="continue"/>
            <w:shd w:val="clear" w:color="auto" w:fill="D9D9D9"/>
            <w:vAlign w:val="top"/>
          </w:tcPr>
          <w:p>
            <w:pPr>
              <w:spacing w:line="500" w:lineRule="exact"/>
              <w:rPr>
                <w:rFonts w:ascii="Times New Roman" w:hAnsi="Times New Roman" w:eastAsia="华文楷体"/>
                <w:sz w:val="22"/>
              </w:rPr>
            </w:pPr>
          </w:p>
        </w:tc>
        <w:tc>
          <w:tcPr>
            <w:tcW w:w="6949" w:type="dxa"/>
            <w:gridSpan w:val="2"/>
            <w:vAlign w:val="top"/>
          </w:tcPr>
          <w:p>
            <w:pPr>
              <w:adjustRightInd w:val="0"/>
              <w:snapToGrid w:val="0"/>
              <w:spacing w:after="120" w:line="276" w:lineRule="auto"/>
              <w:rPr>
                <w:rFonts w:ascii="Times New Roman" w:hAnsi="Times New Roman" w:eastAsia="华文楷体"/>
                <w:sz w:val="24"/>
                <w:szCs w:val="24"/>
              </w:rPr>
            </w:pPr>
            <w:r>
              <w:rPr>
                <w:rFonts w:ascii="Times New Roman" w:hAnsi="Times New Roman" w:eastAsia="华文楷体"/>
                <w:sz w:val="32"/>
                <w:szCs w:val="32"/>
              </w:rPr>
              <w:t>□</w:t>
            </w:r>
            <w:r>
              <w:rPr>
                <w:rFonts w:ascii="Times New Roman" w:hAnsi="Times New Roman" w:eastAsia="华文楷体"/>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top"/>
          </w:tcPr>
          <w:p>
            <w:pPr>
              <w:adjustRightInd w:val="0"/>
              <w:snapToGrid w:val="0"/>
              <w:spacing w:before="120" w:after="120" w:line="276" w:lineRule="auto"/>
              <w:rPr>
                <w:rFonts w:ascii="Times New Roman" w:hAnsi="Times New Roman" w:eastAsia="华文楷体"/>
                <w:sz w:val="22"/>
              </w:rPr>
            </w:pPr>
            <w:r>
              <w:rPr>
                <w:rFonts w:ascii="Times New Roman" w:hAnsi="Times New Roman" w:eastAsia="华文楷体"/>
                <w:sz w:val="24"/>
                <w:szCs w:val="24"/>
              </w:rPr>
              <w:t>备注</w:t>
            </w:r>
          </w:p>
        </w:tc>
        <w:tc>
          <w:tcPr>
            <w:tcW w:w="6949" w:type="dxa"/>
            <w:gridSpan w:val="2"/>
            <w:vAlign w:val="top"/>
          </w:tcPr>
          <w:p>
            <w:pPr>
              <w:adjustRightInd w:val="0"/>
              <w:snapToGrid w:val="0"/>
              <w:rPr>
                <w:rFonts w:hint="eastAsia" w:ascii="Times New Roman" w:hAnsi="Times New Roman" w:eastAsia="华文楷体"/>
                <w:sz w:val="22"/>
              </w:rPr>
            </w:pPr>
            <w:r>
              <w:rPr>
                <w:rFonts w:hint="eastAsia" w:ascii="Times New Roman" w:hAnsi="Times New Roman" w:eastAsia="华文楷体"/>
                <w:sz w:val="22"/>
              </w:rPr>
              <w:t>相关产品市场：连接器市场</w:t>
            </w:r>
          </w:p>
          <w:p>
            <w:pPr>
              <w:adjustRightInd w:val="0"/>
              <w:snapToGrid w:val="0"/>
              <w:rPr>
                <w:rFonts w:hint="eastAsia" w:ascii="Times New Roman" w:hAnsi="Times New Roman" w:eastAsia="华文楷体"/>
                <w:sz w:val="22"/>
              </w:rPr>
            </w:pPr>
            <w:r>
              <w:rPr>
                <w:rFonts w:hint="eastAsia" w:ascii="Times New Roman" w:hAnsi="Times New Roman" w:eastAsia="华文楷体"/>
                <w:sz w:val="22"/>
              </w:rPr>
              <w:t>相关地域市场：全球市场</w:t>
            </w:r>
          </w:p>
          <w:p>
            <w:pPr>
              <w:adjustRightInd w:val="0"/>
              <w:snapToGrid w:val="0"/>
              <w:rPr>
                <w:rFonts w:ascii="Times New Roman" w:hAnsi="Times New Roman" w:eastAsia="华文楷体"/>
                <w:sz w:val="22"/>
              </w:rPr>
            </w:pPr>
            <w:r>
              <w:rPr>
                <w:rFonts w:hint="eastAsia" w:ascii="Times New Roman" w:hAnsi="Times New Roman" w:eastAsia="华文楷体"/>
                <w:sz w:val="22"/>
              </w:rPr>
              <w:t>双方合计市场份额：[0-5]%</w:t>
            </w:r>
          </w:p>
        </w:tc>
      </w:tr>
    </w:tbl>
    <w:p>
      <w:pPr>
        <w:rPr>
          <w:rFonts w:ascii="Times New Roman" w:hAnsi="Times New Roman" w:eastAsia="华文楷体"/>
        </w:rPr>
      </w:pPr>
    </w:p>
    <w:sectPr>
      <w:footerReference r:id="rId4" w:type="first"/>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ourier New">
    <w:panose1 w:val="02070309020205020404"/>
    <w:charset w:val="00"/>
    <w:family w:val="modern"/>
    <w:pitch w:val="default"/>
    <w:sig w:usb0="E0002AFF" w:usb1="C0007843" w:usb2="00000009" w:usb3="00000000" w:csb0="400001FF" w:csb1="FFFF0000"/>
  </w:font>
  <w:font w:name="Tahoma">
    <w:panose1 w:val="020B0604030504040204"/>
    <w:charset w:val="00"/>
    <w:family w:val="swiss"/>
    <w:pitch w:val="default"/>
    <w:sig w:usb0="E1002EFF" w:usb1="C000605B" w:usb2="00000029" w:usb3="00000000" w:csb0="200101FF" w:csb1="2028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20" w:lineRule="exac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20" w:lineRule="exact"/>
    </w:pPr>
    <w:r>
      <w:rPr>
        <w:lang/>
      </w:rPr>
      <mc:AlternateContent>
        <mc:Choice Requires="wps">
          <w:drawing>
            <wp:anchor distT="0" distB="0" distL="114300" distR="114300" simplePos="0" relativeHeight="251658240" behindDoc="1" locked="0" layoutInCell="1" allowOverlap="1">
              <wp:simplePos x="0" y="0"/>
              <wp:positionH relativeFrom="margin">
                <wp:posOffset>0</wp:posOffset>
              </wp:positionH>
              <wp:positionV relativeFrom="paragraph">
                <wp:posOffset>-126365</wp:posOffset>
              </wp:positionV>
              <wp:extent cx="2560320" cy="255905"/>
              <wp:effectExtent l="0" t="0" r="0" b="0"/>
              <wp:wrapNone/>
              <wp:docPr id="1" name="Text Box 1"/>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a:effectLst/>
                    </wps:spPr>
                    <wps:txbx>
                      <w:txbxContent>
                        <w:p>
                          <w:pPr>
                            <w:pStyle w:val="10"/>
                          </w:pPr>
                          <w:r>
                            <w:fldChar w:fldCharType="begin"/>
                          </w:r>
                          <w:r>
                            <w:instrText xml:space="preserve"> DOCPROPERTY  docId </w:instrText>
                          </w:r>
                          <w:r>
                            <w:fldChar w:fldCharType="separate"/>
                          </w:r>
                          <w:r>
                            <w:t>BEI1140306</w:t>
                          </w:r>
                          <w:r>
                            <w:fldChar w:fldCharType="end"/>
                          </w:r>
                          <w:r>
                            <w:fldChar w:fldCharType="begin"/>
                          </w:r>
                          <w:r>
                            <w:instrText xml:space="preserve"> IF </w:instrText>
                          </w:r>
                          <w:r>
                            <w:fldChar w:fldCharType="begin"/>
                          </w:r>
                          <w:r>
                            <w:instrText xml:space="preserve"> DOCPROPERTY  docIncludeVersion </w:instrText>
                          </w:r>
                          <w:r>
                            <w:fldChar w:fldCharType="separate"/>
                          </w:r>
                          <w:r>
                            <w:instrText xml:space="preserve">true</w:instrText>
                          </w:r>
                          <w:r>
                            <w:fldChar w:fldCharType="end"/>
                          </w:r>
                          <w:r>
                            <w:instrText xml:space="preserve"> = true "/</w:instrText>
                          </w:r>
                          <w:r>
                            <w:fldChar w:fldCharType="begin"/>
                          </w:r>
                          <w:r>
                            <w:instrText xml:space="preserve"> DOCPROPERTY  docVersion </w:instrText>
                          </w:r>
                          <w:r>
                            <w:fldChar w:fldCharType="separate"/>
                          </w:r>
                          <w:r>
                            <w:instrText xml:space="preserve">2</w:instrText>
                          </w:r>
                          <w:r>
                            <w:fldChar w:fldCharType="end"/>
                          </w:r>
                          <w:r>
                            <w:instrText xml:space="preserve">"</w:instrText>
                          </w:r>
                          <w:r>
                            <w:fldChar w:fldCharType="separate"/>
                          </w:r>
                          <w:r>
                            <w:rPr>
                              <w:lang/>
                            </w:rPr>
                            <w:t>/2</w:t>
                          </w:r>
                          <w:r>
                            <w:fldChar w:fldCharType="end"/>
                          </w:r>
                          <w:r>
                            <w:t xml:space="preserve">   </w:t>
                          </w:r>
                          <w:r>
                            <w:fldChar w:fldCharType="begin"/>
                          </w:r>
                          <w:r>
                            <w:instrText xml:space="preserve"> IF </w:instrText>
                          </w:r>
                          <w:r>
                            <w:fldChar w:fldCharType="begin"/>
                          </w:r>
                          <w:r>
                            <w:instrText xml:space="preserve"> DOCPROPERTY  docIncludeCliMat </w:instrText>
                          </w:r>
                          <w:r>
                            <w:fldChar w:fldCharType="separate"/>
                          </w:r>
                          <w:r>
                            <w:instrText xml:space="preserve">true</w:instrText>
                          </w:r>
                          <w:r>
                            <w:fldChar w:fldCharType="end"/>
                          </w:r>
                          <w:r>
                            <w:instrText xml:space="preserve"> = true </w:instrText>
                          </w:r>
                          <w:r>
                            <w:fldChar w:fldCharType="begin"/>
                          </w:r>
                          <w:r>
                            <w:instrText xml:space="preserve"> DOCPROPERTY  docCliMat </w:instrText>
                          </w:r>
                          <w:r>
                            <w:fldChar w:fldCharType="separate"/>
                          </w:r>
                          <w:r>
                            <w:instrText xml:space="preserve">111827-0139</w:instrText>
                          </w:r>
                          <w:r>
                            <w:fldChar w:fldCharType="end"/>
                          </w:r>
                          <w:r>
                            <w:instrText xml:space="preserve">  </w:instrText>
                          </w:r>
                          <w:r>
                            <w:fldChar w:fldCharType="separate"/>
                          </w:r>
                          <w:r>
                            <w:rPr>
                              <w:lang/>
                            </w:rPr>
                            <w:t>111827-0139</w:t>
                          </w:r>
                          <w:r>
                            <w:fldChar w:fldCharType="end"/>
                          </w:r>
                        </w:p>
                        <w:p>
                          <w:pPr>
                            <w:pStyle w:val="10"/>
                          </w:pPr>
                        </w:p>
                      </w:txbxContent>
                    </wps:txbx>
                    <wps:bodyPr rot="0" vert="horz" wrap="square" lIns="0" tIns="0" rIns="0" bIns="0" anchor="t" anchorCtr="0" upright="1">
                      <a:noAutofit/>
                    </wps:bodyPr>
                  </wps:wsp>
                </a:graphicData>
              </a:graphic>
            </wp:anchor>
          </w:drawing>
        </mc:Choice>
        <mc:Fallback>
          <w:pict>
            <v:shape id="Text Box 1" o:spid="_x0000_s1026" o:spt="202" type="#_x0000_t202" style="position:absolute;left:0pt;margin-left:0pt;margin-top:-9.95pt;height:20.15pt;width:201.6pt;mso-position-horizontal-relative:margin;z-index:-251658240;mso-width-relative:page;mso-height-relative:page;" filled="f" stroked="f" coordsize="21600,21600" o:gfxdata="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N4L683XAAAA&#10;BwEAAA8AAAAAAAAAAQAgAAAAIgAAAGRycy9kb3ducmV2LnhtbFBLAQIUABQAAAAIAIdO4kAB91H8&#10;5QEAAMQDAAAOAAAAAAAAAAEAIAAAACYBAABkcnMvZTJvRG9jLnhtbFBLBQYAAAAABgAGAFkBAAB9&#10;BQAAAAA=&#10;">
              <v:fill on="f" focussize="0,0"/>
              <v:stroke on="f"/>
              <v:imagedata o:title=""/>
              <o:lock v:ext="edit" aspectratio="f"/>
              <v:textbox inset="0mm,0mm,0mm,0mm">
                <w:txbxContent>
                  <w:p>
                    <w:pPr>
                      <w:pStyle w:val="10"/>
                    </w:pPr>
                    <w:r>
                      <w:fldChar w:fldCharType="begin"/>
                    </w:r>
                    <w:r>
                      <w:instrText xml:space="preserve"> DOCPROPERTY  docId </w:instrText>
                    </w:r>
                    <w:r>
                      <w:fldChar w:fldCharType="separate"/>
                    </w:r>
                    <w:r>
                      <w:t>BEI1140306</w:t>
                    </w:r>
                    <w:r>
                      <w:fldChar w:fldCharType="end"/>
                    </w:r>
                    <w:r>
                      <w:fldChar w:fldCharType="begin"/>
                    </w:r>
                    <w:r>
                      <w:instrText xml:space="preserve"> IF </w:instrText>
                    </w:r>
                    <w:r>
                      <w:fldChar w:fldCharType="begin"/>
                    </w:r>
                    <w:r>
                      <w:instrText xml:space="preserve"> DOCPROPERTY  docIncludeVersion </w:instrText>
                    </w:r>
                    <w:r>
                      <w:fldChar w:fldCharType="separate"/>
                    </w:r>
                    <w:r>
                      <w:instrText xml:space="preserve">true</w:instrText>
                    </w:r>
                    <w:r>
                      <w:fldChar w:fldCharType="end"/>
                    </w:r>
                    <w:r>
                      <w:instrText xml:space="preserve"> = true "/</w:instrText>
                    </w:r>
                    <w:r>
                      <w:fldChar w:fldCharType="begin"/>
                    </w:r>
                    <w:r>
                      <w:instrText xml:space="preserve"> DOCPROPERTY  docVersion </w:instrText>
                    </w:r>
                    <w:r>
                      <w:fldChar w:fldCharType="separate"/>
                    </w:r>
                    <w:r>
                      <w:instrText xml:space="preserve">2</w:instrText>
                    </w:r>
                    <w:r>
                      <w:fldChar w:fldCharType="end"/>
                    </w:r>
                    <w:r>
                      <w:instrText xml:space="preserve">"</w:instrText>
                    </w:r>
                    <w:r>
                      <w:fldChar w:fldCharType="separate"/>
                    </w:r>
                    <w:r>
                      <w:rPr>
                        <w:lang/>
                      </w:rPr>
                      <w:t>/2</w:t>
                    </w:r>
                    <w:r>
                      <w:fldChar w:fldCharType="end"/>
                    </w:r>
                    <w:r>
                      <w:t xml:space="preserve">   </w:t>
                    </w:r>
                    <w:r>
                      <w:fldChar w:fldCharType="begin"/>
                    </w:r>
                    <w:r>
                      <w:instrText xml:space="preserve"> IF </w:instrText>
                    </w:r>
                    <w:r>
                      <w:fldChar w:fldCharType="begin"/>
                    </w:r>
                    <w:r>
                      <w:instrText xml:space="preserve"> DOCPROPERTY  docIncludeCliMat </w:instrText>
                    </w:r>
                    <w:r>
                      <w:fldChar w:fldCharType="separate"/>
                    </w:r>
                    <w:r>
                      <w:instrText xml:space="preserve">true</w:instrText>
                    </w:r>
                    <w:r>
                      <w:fldChar w:fldCharType="end"/>
                    </w:r>
                    <w:r>
                      <w:instrText xml:space="preserve"> = true </w:instrText>
                    </w:r>
                    <w:r>
                      <w:fldChar w:fldCharType="begin"/>
                    </w:r>
                    <w:r>
                      <w:instrText xml:space="preserve"> DOCPROPERTY  docCliMat </w:instrText>
                    </w:r>
                    <w:r>
                      <w:fldChar w:fldCharType="separate"/>
                    </w:r>
                    <w:r>
                      <w:instrText xml:space="preserve">111827-0139</w:instrText>
                    </w:r>
                    <w:r>
                      <w:fldChar w:fldCharType="end"/>
                    </w:r>
                    <w:r>
                      <w:instrText xml:space="preserve">  </w:instrText>
                    </w:r>
                    <w:r>
                      <w:fldChar w:fldCharType="separate"/>
                    </w:r>
                    <w:r>
                      <w:rPr>
                        <w:lang/>
                      </w:rPr>
                      <w:t>111827-0139</w:t>
                    </w:r>
                    <w:r>
                      <w:fldChar w:fldCharType="end"/>
                    </w:r>
                  </w:p>
                  <w:p>
                    <w:pPr>
                      <w:pStyle w:val="10"/>
                    </w:pP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zzmp10LastTrailerInserted" w:val="^`~#mp!@D⌜⌋#&lt;┖┤8;6zœmſK⌒Ä@⌘FßWph.⌘v‚îX”₲⌔w!ÇÿàÂ⌚ÇNn‣uy@⌞※^ˌD”¬AUZwwf5GI¦b†}àíî:’⌠:qaì¢|ÖÕr⌟AÒ⌐⌑âƄ~ë⌉&lt;ţZûſÌƄªšÓûÛ·⌙⌡¿⌖J7XkJÀ4¥Ŧ¸éž¨ÑëÝ¤_¬¹⌡ø}Ë`Ne(9E÷ÞÛ¬W7É⌉sKR,Û⌛†Ã}⌃⌂:6E=9TTQ011"/>
    <w:docVar w:name="zzmp10LastTrailerInserted_2832" w:val="^`~#mp!@D⌜⌋#&lt;┖┤8;6zœmſK⌒Ä@⌘FßWph.⌘v‚îX”₲⌔w!ÇÿàÂ⌚ÇNn‣uy@⌞※^ˌD”¬AUZwwf5GI¦b†}àíî:’⌠:qaì¢|ÖÕr⌟AÒ⌐⌑âƄ~ë⌉&lt;ţZûſÌƄªšÓûÛ·⌙⌡¿⌖J7XkJÀ4¥Ŧ¸éž¨ÑëÝ¤_¬¹⌡ø}Ë`Ne(9E÷ÞÛ¬W7É⌉sKR,Û⌛†Ã}⌃⌂:6E=9TTQ011"/>
    <w:docVar w:name="zzmp10mSEGsValidated" w:val="1"/>
    <w:docVar w:name="zzmpLegacyTrailerRemoved" w:val="True"/>
  </w:docVars>
  <w:rsids>
    <w:rsidRoot w:val="00094095"/>
    <w:rsid w:val="00094095"/>
    <w:rsid w:val="000F2CF0"/>
    <w:rsid w:val="00122DEC"/>
    <w:rsid w:val="00136320"/>
    <w:rsid w:val="001A19D3"/>
    <w:rsid w:val="001A65C7"/>
    <w:rsid w:val="001B19C5"/>
    <w:rsid w:val="001C6B45"/>
    <w:rsid w:val="00206495"/>
    <w:rsid w:val="00236D59"/>
    <w:rsid w:val="00245776"/>
    <w:rsid w:val="00280DFA"/>
    <w:rsid w:val="002835DC"/>
    <w:rsid w:val="002F2D60"/>
    <w:rsid w:val="00307976"/>
    <w:rsid w:val="003276A0"/>
    <w:rsid w:val="003D75F4"/>
    <w:rsid w:val="003F6A24"/>
    <w:rsid w:val="004353C7"/>
    <w:rsid w:val="00462174"/>
    <w:rsid w:val="004B580B"/>
    <w:rsid w:val="00515D3E"/>
    <w:rsid w:val="005F167B"/>
    <w:rsid w:val="006D5B7D"/>
    <w:rsid w:val="00711A38"/>
    <w:rsid w:val="007372BA"/>
    <w:rsid w:val="00771357"/>
    <w:rsid w:val="00786A63"/>
    <w:rsid w:val="007E4CFB"/>
    <w:rsid w:val="008162CB"/>
    <w:rsid w:val="008205D4"/>
    <w:rsid w:val="00822BE0"/>
    <w:rsid w:val="00836816"/>
    <w:rsid w:val="00952568"/>
    <w:rsid w:val="00957873"/>
    <w:rsid w:val="009E5E9B"/>
    <w:rsid w:val="009F4228"/>
    <w:rsid w:val="00A53060"/>
    <w:rsid w:val="00A731FB"/>
    <w:rsid w:val="00A87AC1"/>
    <w:rsid w:val="00AE769A"/>
    <w:rsid w:val="00B32DD0"/>
    <w:rsid w:val="00BA0750"/>
    <w:rsid w:val="00BB2377"/>
    <w:rsid w:val="00BF78C8"/>
    <w:rsid w:val="00C3389C"/>
    <w:rsid w:val="00C9068E"/>
    <w:rsid w:val="00D21777"/>
    <w:rsid w:val="00DA38A1"/>
    <w:rsid w:val="00EA7146"/>
    <w:rsid w:val="00ED21B1"/>
    <w:rsid w:val="00ED62C4"/>
    <w:rsid w:val="00F7286B"/>
    <w:rsid w:val="00F755EC"/>
    <w:rsid w:val="00F848CE"/>
    <w:rsid w:val="00F87C1F"/>
    <w:rsid w:val="00FA1E46"/>
    <w:rsid w:val="00FE6591"/>
    <w:rsid w:val="2F1F7B9B"/>
    <w:rsid w:val="516D2A9F"/>
  </w:rsids>
  <m:mathPr>
    <m:brkBin m:val="before"/>
    <m:brkBinSub m:val="--"/>
    <m:smallFrac m:val="0"/>
    <m:dispDef/>
    <m:lMargin m:val="0"/>
    <m:rMargin m:val="0"/>
    <m:defJc m:val="centerGroup"/>
    <m:wrapIndent m:val="1440"/>
    <m:intLim m:val="subSup"/>
    <m:naryLim m:val="undOvr"/>
  </m:mathPr>
  <w:attachedSchema w:val="urn-legalmacpac-data/10"/>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2"/>
      <w:lang w:val="en-US" w:eastAsia="zh-CN" w:bidi="ar-SA"/>
    </w:rPr>
  </w:style>
  <w:style w:type="character" w:default="1" w:styleId="6">
    <w:name w:val="Default Paragraph Font"/>
    <w:unhideWhenUsed/>
    <w:uiPriority w:val="1"/>
  </w:style>
  <w:style w:type="table" w:default="1" w:styleId="8">
    <w:name w:val="Normal Table"/>
    <w:semiHidden/>
    <w:unhideWhenUsed/>
    <w:qFormat/>
    <w:uiPriority w:val="99"/>
    <w:tblPr>
      <w:tblStyle w:val="8"/>
      <w:tblLayout w:type="fixed"/>
      <w:tblCellMar>
        <w:top w:w="0" w:type="dxa"/>
        <w:left w:w="108" w:type="dxa"/>
        <w:bottom w:w="0" w:type="dxa"/>
        <w:right w:w="108" w:type="dxa"/>
      </w:tblCellMar>
    </w:tblPr>
  </w:style>
  <w:style w:type="paragraph" w:styleId="2">
    <w:name w:val="endnote text"/>
    <w:basedOn w:val="1"/>
    <w:link w:val="11"/>
    <w:semiHidden/>
    <w:unhideWhenUsed/>
    <w:uiPriority w:val="99"/>
    <w:pPr>
      <w:snapToGrid w:val="0"/>
      <w:jc w:val="left"/>
    </w:pPr>
  </w:style>
  <w:style w:type="paragraph" w:styleId="3">
    <w:name w:val="Balloon Text"/>
    <w:basedOn w:val="1"/>
    <w:link w:val="14"/>
    <w:semiHidden/>
    <w:unhideWhenUsed/>
    <w:uiPriority w:val="99"/>
    <w:rPr>
      <w:rFonts w:ascii="Tahoma" w:hAnsi="Tahoma" w:cs="Tahoma"/>
      <w:sz w:val="16"/>
      <w:szCs w:val="16"/>
    </w:rPr>
  </w:style>
  <w:style w:type="paragraph" w:styleId="4">
    <w:name w:val="footer"/>
    <w:basedOn w:val="1"/>
    <w:link w:val="13"/>
    <w:unhideWhenUsed/>
    <w:uiPriority w:val="99"/>
    <w:pPr>
      <w:tabs>
        <w:tab w:val="center" w:pos="4153"/>
        <w:tab w:val="right" w:pos="8306"/>
      </w:tabs>
      <w:snapToGrid w:val="0"/>
      <w:jc w:val="left"/>
    </w:pPr>
    <w:rPr>
      <w:sz w:val="18"/>
      <w:szCs w:val="18"/>
    </w:rPr>
  </w:style>
  <w:style w:type="paragraph" w:styleId="5">
    <w:name w:val="header"/>
    <w:basedOn w:val="1"/>
    <w:link w:val="12"/>
    <w:unhideWhenUsed/>
    <w:uiPriority w:val="99"/>
    <w:pPr>
      <w:pBdr>
        <w:bottom w:val="single" w:color="auto" w:sz="6" w:space="1"/>
      </w:pBdr>
      <w:tabs>
        <w:tab w:val="center" w:pos="4153"/>
        <w:tab w:val="right" w:pos="8306"/>
      </w:tabs>
      <w:snapToGrid w:val="0"/>
      <w:jc w:val="center"/>
    </w:pPr>
    <w:rPr>
      <w:sz w:val="18"/>
      <w:szCs w:val="18"/>
    </w:rPr>
  </w:style>
  <w:style w:type="character" w:styleId="7">
    <w:name w:val="endnote reference"/>
    <w:semiHidden/>
    <w:unhideWhenUsed/>
    <w:uiPriority w:val="99"/>
    <w:rPr>
      <w:vertAlign w:val="superscript"/>
    </w:rPr>
  </w:style>
  <w:style w:type="table" w:styleId="9">
    <w:name w:val="Table Grid"/>
    <w:basedOn w:val="8"/>
    <w:uiPriority w:val="59"/>
    <w:tblPr>
      <w:tblStyle w:val="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customStyle="1" w:styleId="10">
    <w:name w:val="MacPac Trailer"/>
    <w:uiPriority w:val="0"/>
    <w:pPr>
      <w:widowControl w:val="0"/>
      <w:spacing w:line="170" w:lineRule="exact"/>
    </w:pPr>
    <w:rPr>
      <w:rFonts w:ascii="Times New Roman" w:hAnsi="Times New Roman" w:eastAsia="Times New Roman"/>
      <w:sz w:val="14"/>
      <w:szCs w:val="22"/>
      <w:lang w:val="en-US" w:eastAsia="en-US" w:bidi="ar-SA"/>
    </w:rPr>
  </w:style>
  <w:style w:type="character" w:customStyle="1" w:styleId="11">
    <w:name w:val="Endnote Text Char"/>
    <w:basedOn w:val="6"/>
    <w:link w:val="2"/>
    <w:semiHidden/>
    <w:uiPriority w:val="99"/>
  </w:style>
  <w:style w:type="character" w:customStyle="1" w:styleId="12">
    <w:name w:val="Header Char"/>
    <w:link w:val="5"/>
    <w:uiPriority w:val="99"/>
    <w:rPr>
      <w:sz w:val="18"/>
      <w:szCs w:val="18"/>
    </w:rPr>
  </w:style>
  <w:style w:type="character" w:customStyle="1" w:styleId="13">
    <w:name w:val="Footer Char"/>
    <w:link w:val="4"/>
    <w:uiPriority w:val="99"/>
    <w:rPr>
      <w:sz w:val="18"/>
      <w:szCs w:val="18"/>
    </w:rPr>
  </w:style>
  <w:style w:type="character" w:customStyle="1" w:styleId="14">
    <w:name w:val="Balloon Text Char"/>
    <w:link w:val="3"/>
    <w:semiHidden/>
    <w:uiPriority w:val="99"/>
    <w:rPr>
      <w:rFonts w:ascii="Tahoma" w:hAnsi="Tahoma" w:cs="Tahoma"/>
      <w:kern w:val="2"/>
      <w:sz w:val="16"/>
      <w:szCs w:val="1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Freshfields Bruckhaus Deringer</Company>
  <Pages>2</Pages>
  <Words>101</Words>
  <Characters>577</Characters>
  <Lines>4</Lines>
  <Paragraphs>1</Paragraphs>
  <TotalTime>2</TotalTime>
  <ScaleCrop>false</ScaleCrop>
  <LinksUpToDate>false</LinksUpToDate>
  <CharactersWithSpaces>677</CharactersWithSpaces>
  <Application>WPS Office_10.1.0.7400_F1E327BC-269C-435d-A152-05C5408002CA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2018-05-11T08:02:00Z</dcterms:created>
  <dc:creator>dell</dc:creator>
  <cp:lastModifiedBy>云上心情</cp:lastModifiedBy>
  <cp:lastPrinted>2014-10-08T02:48:00Z</cp:lastPrinted>
  <dcterms:modified xsi:type="dcterms:W3CDTF">2018-06-21T07:47:08Z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BEI1140306</vt:lpwstr>
  </property>
  <property fmtid="{D5CDD505-2E9C-101B-9397-08002B2CF9AE}" pid="3" name="docVersion">
    <vt:lpwstr>2</vt:lpwstr>
  </property>
  <property fmtid="{D5CDD505-2E9C-101B-9397-08002B2CF9AE}" pid="4" name="docCliMat">
    <vt:lpwstr>111827-0139</vt:lpwstr>
  </property>
  <property fmtid="{D5CDD505-2E9C-101B-9397-08002B2CF9AE}" pid="5" name="docIncludeVersion">
    <vt:lpwstr>true</vt:lpwstr>
  </property>
  <property fmtid="{D5CDD505-2E9C-101B-9397-08002B2CF9AE}" pid="6" name="docIncludeCliMat">
    <vt:lpwstr>true</vt:lpwstr>
  </property>
  <property fmtid="{D5CDD505-2E9C-101B-9397-08002B2CF9AE}" pid="7" name="KSOProductBuildVer">
    <vt:lpwstr>2052-10.1.0.7400</vt:lpwstr>
  </property>
</Properties>
</file>