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2C678A" w:rsidRDefault="00094095" w:rsidP="00094095">
      <w:pPr>
        <w:spacing w:line="440" w:lineRule="exact"/>
        <w:jc w:val="center"/>
        <w:rPr>
          <w:rFonts w:ascii="楷体_GB2312" w:eastAsia="楷体_GB2312" w:hAnsi="仿宋" w:hint="eastAsia"/>
          <w:sz w:val="28"/>
          <w:szCs w:val="30"/>
        </w:rPr>
      </w:pPr>
      <w:r w:rsidRPr="002C678A">
        <w:rPr>
          <w:rFonts w:ascii="楷体_GB2312" w:eastAsia="楷体_GB2312" w:hAnsi="仿宋" w:hint="eastAsia"/>
          <w:sz w:val="28"/>
          <w:szCs w:val="30"/>
        </w:rPr>
        <w:t>经营者集中简易案件公示表</w:t>
      </w:r>
    </w:p>
    <w:p w:rsidR="00094095" w:rsidRPr="002C678A" w:rsidRDefault="00094095" w:rsidP="00094095">
      <w:pPr>
        <w:spacing w:line="440" w:lineRule="exact"/>
        <w:rPr>
          <w:rFonts w:ascii="楷体_GB2312" w:eastAsia="楷体_GB2312" w:hAnsi="仿宋" w:hint="eastAsia"/>
          <w:sz w:val="28"/>
          <w:szCs w:val="28"/>
        </w:rPr>
      </w:pPr>
    </w:p>
    <w:p w:rsidR="00094095" w:rsidRPr="002C678A" w:rsidRDefault="00094095" w:rsidP="002C678A">
      <w:pPr>
        <w:spacing w:line="440" w:lineRule="exact"/>
        <w:ind w:firstLineChars="302" w:firstLine="846"/>
        <w:rPr>
          <w:rFonts w:ascii="楷体_GB2312" w:eastAsia="楷体_GB2312" w:hAnsi="仿宋" w:hint="eastAsia"/>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268"/>
        <w:gridCol w:w="4681"/>
      </w:tblGrid>
      <w:tr w:rsidR="00094095" w:rsidRPr="002C678A" w:rsidTr="002F2D60">
        <w:tc>
          <w:tcPr>
            <w:tcW w:w="1809" w:type="dxa"/>
            <w:shd w:val="clear" w:color="auto" w:fill="D9D9D9"/>
          </w:tcPr>
          <w:p w:rsidR="00094095" w:rsidRPr="002C678A" w:rsidRDefault="00094095"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案件名称</w:t>
            </w:r>
          </w:p>
        </w:tc>
        <w:tc>
          <w:tcPr>
            <w:tcW w:w="6949" w:type="dxa"/>
            <w:gridSpan w:val="2"/>
          </w:tcPr>
          <w:p w:rsidR="00094095" w:rsidRPr="002C678A" w:rsidRDefault="00366856" w:rsidP="002F2D60">
            <w:pPr>
              <w:spacing w:line="500" w:lineRule="exact"/>
              <w:rPr>
                <w:rFonts w:ascii="楷体_GB2312" w:eastAsia="楷体_GB2312" w:hAnsi="仿宋" w:hint="eastAsia"/>
                <w:sz w:val="28"/>
                <w:szCs w:val="28"/>
              </w:rPr>
            </w:pPr>
            <w:r w:rsidRPr="002C678A">
              <w:rPr>
                <w:rFonts w:ascii="楷体_GB2312" w:eastAsia="楷体_GB2312" w:hAnsi="仿宋" w:hint="eastAsia"/>
                <w:kern w:val="0"/>
                <w:sz w:val="28"/>
                <w:szCs w:val="21"/>
              </w:rPr>
              <w:t>泰雷兹股份公司收购</w:t>
            </w:r>
            <w:bookmarkStart w:id="0" w:name="_GoBack"/>
            <w:bookmarkEnd w:id="0"/>
            <w:r w:rsidRPr="002C678A">
              <w:rPr>
                <w:rFonts w:ascii="楷体_GB2312" w:eastAsia="楷体_GB2312" w:hAnsi="仿宋" w:hint="eastAsia"/>
                <w:kern w:val="0"/>
                <w:sz w:val="28"/>
                <w:szCs w:val="21"/>
              </w:rPr>
              <w:t>金雅拓有限公司股权案</w:t>
            </w:r>
          </w:p>
        </w:tc>
      </w:tr>
      <w:tr w:rsidR="00094095" w:rsidRPr="002C678A" w:rsidTr="002F2D60">
        <w:trPr>
          <w:trHeight w:val="993"/>
        </w:trPr>
        <w:tc>
          <w:tcPr>
            <w:tcW w:w="1809" w:type="dxa"/>
            <w:shd w:val="clear" w:color="auto" w:fill="D9D9D9"/>
          </w:tcPr>
          <w:p w:rsidR="00094095" w:rsidRPr="002C678A" w:rsidRDefault="00094095"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交易概况（限200字内）</w:t>
            </w:r>
          </w:p>
        </w:tc>
        <w:tc>
          <w:tcPr>
            <w:tcW w:w="6949" w:type="dxa"/>
            <w:gridSpan w:val="2"/>
          </w:tcPr>
          <w:p w:rsidR="00366856" w:rsidRPr="002C678A" w:rsidRDefault="00366856" w:rsidP="00366856">
            <w:pPr>
              <w:widowControl/>
              <w:snapToGrid w:val="0"/>
              <w:jc w:val="left"/>
              <w:rPr>
                <w:rFonts w:ascii="楷体_GB2312" w:eastAsia="楷体_GB2312" w:hAnsi="仿宋" w:hint="eastAsia"/>
                <w:color w:val="000000"/>
                <w:sz w:val="28"/>
              </w:rPr>
            </w:pPr>
            <w:r w:rsidRPr="002C678A">
              <w:rPr>
                <w:rFonts w:ascii="楷体_GB2312" w:eastAsia="楷体_GB2312" w:hAnsi="仿宋" w:hint="eastAsia"/>
                <w:color w:val="000000"/>
                <w:sz w:val="28"/>
              </w:rPr>
              <w:t>2017年12月17日，泰雷兹</w:t>
            </w:r>
            <w:r w:rsidRPr="002C678A">
              <w:rPr>
                <w:rFonts w:ascii="楷体_GB2312" w:eastAsia="楷体_GB2312" w:hAnsi="仿宋" w:hint="eastAsia"/>
                <w:kern w:val="0"/>
                <w:sz w:val="28"/>
                <w:szCs w:val="21"/>
              </w:rPr>
              <w:t>股份公司（“泰雷兹”）</w:t>
            </w:r>
            <w:r w:rsidRPr="002C678A">
              <w:rPr>
                <w:rFonts w:ascii="楷体_GB2312" w:eastAsia="楷体_GB2312" w:hAnsi="仿宋" w:hint="eastAsia"/>
                <w:color w:val="000000"/>
                <w:sz w:val="28"/>
              </w:rPr>
              <w:t>和</w:t>
            </w:r>
            <w:r w:rsidRPr="002C678A">
              <w:rPr>
                <w:rFonts w:ascii="楷体_GB2312" w:eastAsia="楷体_GB2312" w:hAnsi="仿宋" w:hint="eastAsia"/>
                <w:kern w:val="0"/>
                <w:sz w:val="28"/>
                <w:szCs w:val="21"/>
              </w:rPr>
              <w:t>金雅拓有限公司（“金雅拓”）</w:t>
            </w:r>
            <w:r w:rsidRPr="002C678A">
              <w:rPr>
                <w:rFonts w:ascii="楷体_GB2312" w:eastAsia="楷体_GB2312" w:hAnsi="仿宋" w:hint="eastAsia"/>
                <w:color w:val="000000"/>
                <w:sz w:val="28"/>
              </w:rPr>
              <w:t>同意通过由泰雷兹发起一致建议的以现金为对价对金雅拓的所有已发行并流通在外的普通股进行公开要约收购的方式合并双方的业务。</w:t>
            </w:r>
          </w:p>
          <w:p w:rsidR="00094095" w:rsidRPr="002C678A" w:rsidRDefault="00366856" w:rsidP="00366856">
            <w:pPr>
              <w:widowControl/>
              <w:snapToGrid w:val="0"/>
              <w:jc w:val="left"/>
              <w:rPr>
                <w:rFonts w:ascii="楷体_GB2312" w:eastAsia="楷体_GB2312" w:hAnsi="仿宋" w:hint="eastAsia"/>
                <w:color w:val="000000"/>
                <w:sz w:val="28"/>
              </w:rPr>
            </w:pPr>
            <w:r w:rsidRPr="002C678A">
              <w:rPr>
                <w:rFonts w:ascii="楷体_GB2312" w:eastAsia="楷体_GB2312" w:hAnsi="仿宋" w:hint="eastAsia"/>
                <w:color w:val="000000"/>
                <w:sz w:val="28"/>
              </w:rPr>
              <w:t>完成要约的条件包括至少获得金雅拓67％的股权。</w:t>
            </w:r>
          </w:p>
        </w:tc>
      </w:tr>
      <w:tr w:rsidR="00094095" w:rsidRPr="002C678A" w:rsidTr="00366856">
        <w:trPr>
          <w:trHeight w:val="468"/>
        </w:trPr>
        <w:tc>
          <w:tcPr>
            <w:tcW w:w="1809" w:type="dxa"/>
            <w:vMerge w:val="restart"/>
            <w:shd w:val="clear" w:color="auto" w:fill="D9D9D9"/>
          </w:tcPr>
          <w:p w:rsidR="00094095" w:rsidRPr="002C678A" w:rsidRDefault="00094095"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参与集中的经营者简介</w:t>
            </w:r>
          </w:p>
        </w:tc>
        <w:tc>
          <w:tcPr>
            <w:tcW w:w="2268" w:type="dxa"/>
          </w:tcPr>
          <w:p w:rsidR="00094095" w:rsidRPr="002C678A" w:rsidRDefault="00366856" w:rsidP="00BA7CB7">
            <w:pPr>
              <w:numPr>
                <w:ilvl w:val="0"/>
                <w:numId w:val="3"/>
              </w:numPr>
              <w:spacing w:line="500" w:lineRule="exact"/>
              <w:rPr>
                <w:rFonts w:ascii="楷体_GB2312" w:eastAsia="楷体_GB2312" w:hAnsi="仿宋" w:hint="eastAsia"/>
                <w:sz w:val="28"/>
                <w:szCs w:val="28"/>
              </w:rPr>
            </w:pPr>
            <w:r w:rsidRPr="002C678A">
              <w:rPr>
                <w:rFonts w:ascii="楷体_GB2312" w:eastAsia="楷体_GB2312" w:hAnsi="仿宋" w:hint="eastAsia"/>
                <w:color w:val="000000"/>
                <w:sz w:val="28"/>
              </w:rPr>
              <w:t>泰雷兹</w:t>
            </w:r>
            <w:r w:rsidRPr="002C678A">
              <w:rPr>
                <w:rFonts w:ascii="楷体_GB2312" w:eastAsia="楷体_GB2312" w:hAnsi="仿宋" w:hint="eastAsia"/>
                <w:kern w:val="0"/>
                <w:sz w:val="28"/>
                <w:szCs w:val="21"/>
              </w:rPr>
              <w:t>股份公司</w:t>
            </w:r>
          </w:p>
        </w:tc>
        <w:tc>
          <w:tcPr>
            <w:tcW w:w="4681" w:type="dxa"/>
          </w:tcPr>
          <w:p w:rsidR="00094095" w:rsidRPr="002C678A" w:rsidRDefault="00454EE5" w:rsidP="00BA7CB7">
            <w:pPr>
              <w:widowControl/>
              <w:snapToGrid w:val="0"/>
              <w:rPr>
                <w:rFonts w:ascii="楷体_GB2312" w:eastAsia="楷体_GB2312" w:hAnsi="仿宋" w:hint="eastAsia"/>
                <w:sz w:val="28"/>
              </w:rPr>
            </w:pPr>
            <w:r w:rsidRPr="002C678A">
              <w:rPr>
                <w:rFonts w:ascii="楷体_GB2312" w:eastAsia="楷体_GB2312" w:hAnsi="仿宋" w:hint="eastAsia"/>
                <w:sz w:val="28"/>
              </w:rPr>
              <w:t>泰雷兹是一家全球性电子与系统集团，主要从事以下五个领域的业务：</w:t>
            </w:r>
            <w:r w:rsidR="00BA7CB7" w:rsidRPr="002C678A">
              <w:rPr>
                <w:rFonts w:ascii="楷体_GB2312" w:eastAsia="楷体_GB2312" w:hAnsi="仿宋" w:hint="eastAsia"/>
                <w:sz w:val="28"/>
              </w:rPr>
              <w:t>（1）</w:t>
            </w:r>
            <w:r w:rsidRPr="002C678A">
              <w:rPr>
                <w:rFonts w:ascii="楷体_GB2312" w:eastAsia="楷体_GB2312" w:hAnsi="仿宋" w:hint="eastAsia"/>
                <w:sz w:val="28"/>
              </w:rPr>
              <w:t>航空，</w:t>
            </w:r>
            <w:r w:rsidR="00BA7CB7" w:rsidRPr="002C678A">
              <w:rPr>
                <w:rFonts w:ascii="楷体_GB2312" w:eastAsia="楷体_GB2312" w:hAnsi="仿宋" w:hint="eastAsia"/>
                <w:sz w:val="28"/>
              </w:rPr>
              <w:t>（2）</w:t>
            </w:r>
            <w:r w:rsidRPr="002C678A">
              <w:rPr>
                <w:rFonts w:ascii="楷体_GB2312" w:eastAsia="楷体_GB2312" w:hAnsi="仿宋" w:hint="eastAsia"/>
                <w:sz w:val="28"/>
              </w:rPr>
              <w:t>太空，</w:t>
            </w:r>
            <w:r w:rsidR="00BA7CB7" w:rsidRPr="002C678A">
              <w:rPr>
                <w:rFonts w:ascii="楷体_GB2312" w:eastAsia="楷体_GB2312" w:hAnsi="仿宋" w:hint="eastAsia"/>
                <w:sz w:val="28"/>
              </w:rPr>
              <w:t>（3）</w:t>
            </w:r>
            <w:r w:rsidRPr="002C678A">
              <w:rPr>
                <w:rFonts w:ascii="楷体_GB2312" w:eastAsia="楷体_GB2312" w:hAnsi="仿宋" w:hint="eastAsia"/>
                <w:sz w:val="28"/>
              </w:rPr>
              <w:t>地面交通，</w:t>
            </w:r>
            <w:r w:rsidR="00BA7CB7" w:rsidRPr="002C678A">
              <w:rPr>
                <w:rFonts w:ascii="楷体_GB2312" w:eastAsia="楷体_GB2312" w:hAnsi="仿宋" w:hint="eastAsia"/>
                <w:sz w:val="28"/>
              </w:rPr>
              <w:t>（4）</w:t>
            </w:r>
            <w:r w:rsidRPr="002C678A">
              <w:rPr>
                <w:rFonts w:ascii="楷体_GB2312" w:eastAsia="楷体_GB2312" w:hAnsi="仿宋" w:hint="eastAsia"/>
                <w:sz w:val="28"/>
              </w:rPr>
              <w:t>国防，</w:t>
            </w:r>
            <w:r w:rsidR="00BA7CB7" w:rsidRPr="002C678A">
              <w:rPr>
                <w:rFonts w:ascii="楷体_GB2312" w:eastAsia="楷体_GB2312" w:hAnsi="仿宋" w:hint="eastAsia"/>
                <w:sz w:val="28"/>
              </w:rPr>
              <w:t>及（5）</w:t>
            </w:r>
            <w:r w:rsidRPr="002C678A">
              <w:rPr>
                <w:rFonts w:ascii="楷体_GB2312" w:eastAsia="楷体_GB2312" w:hAnsi="仿宋" w:hint="eastAsia"/>
                <w:sz w:val="28"/>
              </w:rPr>
              <w:t>安全</w:t>
            </w:r>
            <w:r w:rsidR="00BA7CB7" w:rsidRPr="002C678A">
              <w:rPr>
                <w:rFonts w:ascii="楷体_GB2312" w:eastAsia="楷体_GB2312" w:hAnsi="仿宋" w:hint="eastAsia"/>
                <w:sz w:val="28"/>
              </w:rPr>
              <w:t>。</w:t>
            </w:r>
          </w:p>
        </w:tc>
      </w:tr>
      <w:tr w:rsidR="00094095" w:rsidRPr="002C678A" w:rsidTr="00366856">
        <w:trPr>
          <w:trHeight w:val="404"/>
        </w:trPr>
        <w:tc>
          <w:tcPr>
            <w:tcW w:w="1809" w:type="dxa"/>
            <w:vMerge/>
            <w:shd w:val="clear" w:color="auto" w:fill="D9D9D9"/>
          </w:tcPr>
          <w:p w:rsidR="00094095" w:rsidRPr="002C678A" w:rsidRDefault="00094095" w:rsidP="002F2D60">
            <w:pPr>
              <w:spacing w:line="500" w:lineRule="exact"/>
              <w:rPr>
                <w:rFonts w:ascii="楷体_GB2312" w:eastAsia="楷体_GB2312" w:hAnsi="仿宋" w:hint="eastAsia"/>
                <w:sz w:val="28"/>
                <w:szCs w:val="28"/>
              </w:rPr>
            </w:pPr>
          </w:p>
        </w:tc>
        <w:tc>
          <w:tcPr>
            <w:tcW w:w="2268" w:type="dxa"/>
          </w:tcPr>
          <w:p w:rsidR="00094095" w:rsidRPr="002C678A" w:rsidRDefault="00094095"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2、</w:t>
            </w:r>
            <w:r w:rsidR="00366856" w:rsidRPr="002C678A">
              <w:rPr>
                <w:rFonts w:ascii="楷体_GB2312" w:eastAsia="楷体_GB2312" w:hAnsi="仿宋" w:hint="eastAsia"/>
                <w:kern w:val="0"/>
                <w:sz w:val="28"/>
                <w:szCs w:val="21"/>
              </w:rPr>
              <w:t>金雅拓有限公司</w:t>
            </w:r>
          </w:p>
        </w:tc>
        <w:tc>
          <w:tcPr>
            <w:tcW w:w="4681" w:type="dxa"/>
          </w:tcPr>
          <w:p w:rsidR="00454EE5" w:rsidRPr="002C678A" w:rsidRDefault="00454EE5" w:rsidP="00454EE5">
            <w:pPr>
              <w:widowControl/>
              <w:snapToGrid w:val="0"/>
              <w:jc w:val="left"/>
              <w:rPr>
                <w:rFonts w:ascii="楷体_GB2312" w:eastAsia="楷体_GB2312" w:hAnsi="仿宋" w:hint="eastAsia"/>
                <w:sz w:val="28"/>
              </w:rPr>
            </w:pPr>
            <w:r w:rsidRPr="002C678A">
              <w:rPr>
                <w:rFonts w:ascii="楷体_GB2312" w:eastAsia="楷体_GB2312" w:hAnsi="仿宋" w:hint="eastAsia"/>
                <w:sz w:val="28"/>
              </w:rPr>
              <w:t>金雅拓是一家国际数字安全公司。 在全球范围内金雅拓在六个主要领域展开业务：（1）移动平台和服务，（2）移动嵌入式软件和产品，（3）支付，</w:t>
            </w:r>
          </w:p>
          <w:p w:rsidR="00094095" w:rsidRPr="002C678A" w:rsidRDefault="00454EE5" w:rsidP="006751D5">
            <w:pPr>
              <w:widowControl/>
              <w:snapToGrid w:val="0"/>
              <w:jc w:val="left"/>
              <w:rPr>
                <w:rFonts w:ascii="楷体_GB2312" w:eastAsia="楷体_GB2312" w:hAnsi="仿宋" w:hint="eastAsia"/>
                <w:sz w:val="28"/>
                <w:szCs w:val="28"/>
              </w:rPr>
            </w:pPr>
            <w:r w:rsidRPr="002C678A">
              <w:rPr>
                <w:rFonts w:ascii="楷体_GB2312" w:eastAsia="楷体_GB2312" w:hAnsi="仿宋" w:hint="eastAsia"/>
                <w:sz w:val="28"/>
              </w:rPr>
              <w:t>（4）政府计划，（5）机器对机器（物联网），以及（6）企业安全。</w:t>
            </w:r>
          </w:p>
        </w:tc>
      </w:tr>
      <w:tr w:rsidR="00094095" w:rsidRPr="002C678A" w:rsidTr="002F2D60">
        <w:trPr>
          <w:trHeight w:val="279"/>
        </w:trPr>
        <w:tc>
          <w:tcPr>
            <w:tcW w:w="1809" w:type="dxa"/>
            <w:vMerge w:val="restart"/>
            <w:shd w:val="clear" w:color="auto" w:fill="D9D9D9"/>
          </w:tcPr>
          <w:p w:rsidR="00094095" w:rsidRPr="002C678A" w:rsidRDefault="00094095" w:rsidP="00BB2377">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简易案件理由（</w:t>
            </w:r>
            <w:r w:rsidR="005F167B" w:rsidRPr="002C678A">
              <w:rPr>
                <w:rFonts w:ascii="楷体_GB2312" w:eastAsia="楷体_GB2312" w:hAnsi="仿宋" w:hint="eastAsia"/>
                <w:sz w:val="28"/>
                <w:szCs w:val="28"/>
              </w:rPr>
              <w:t>可以单选，也可以多选</w:t>
            </w:r>
            <w:r w:rsidRPr="002C678A">
              <w:rPr>
                <w:rFonts w:ascii="楷体_GB2312" w:eastAsia="楷体_GB2312" w:hAnsi="仿宋" w:hint="eastAsia"/>
                <w:sz w:val="28"/>
                <w:szCs w:val="28"/>
              </w:rPr>
              <w:t>）</w:t>
            </w:r>
          </w:p>
        </w:tc>
        <w:tc>
          <w:tcPr>
            <w:tcW w:w="6949" w:type="dxa"/>
            <w:gridSpan w:val="2"/>
          </w:tcPr>
          <w:p w:rsidR="00094095" w:rsidRPr="002C678A" w:rsidRDefault="004E30DA"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sym w:font="Wingdings" w:char="F0FE"/>
            </w:r>
            <w:r w:rsidR="00094095" w:rsidRPr="002C678A">
              <w:rPr>
                <w:rFonts w:ascii="楷体_GB2312" w:eastAsia="楷体_GB2312" w:hAnsi="仿宋" w:hint="eastAsia"/>
                <w:sz w:val="28"/>
                <w:szCs w:val="28"/>
              </w:rPr>
              <w:t>1、在同一相关市场，所有参与集中的经营者所占市场份额之和小于15%。</w:t>
            </w:r>
          </w:p>
        </w:tc>
      </w:tr>
      <w:tr w:rsidR="00094095" w:rsidRPr="002C678A" w:rsidTr="002F2D60">
        <w:trPr>
          <w:trHeight w:val="330"/>
        </w:trPr>
        <w:tc>
          <w:tcPr>
            <w:tcW w:w="1809" w:type="dxa"/>
            <w:vMerge/>
            <w:shd w:val="clear" w:color="auto" w:fill="D9D9D9"/>
          </w:tcPr>
          <w:p w:rsidR="00094095" w:rsidRPr="002C678A" w:rsidRDefault="00094095" w:rsidP="002F2D60">
            <w:pPr>
              <w:spacing w:line="500" w:lineRule="exact"/>
              <w:rPr>
                <w:rFonts w:ascii="楷体_GB2312" w:eastAsia="楷体_GB2312" w:hAnsi="仿宋" w:hint="eastAsia"/>
                <w:sz w:val="28"/>
                <w:szCs w:val="28"/>
              </w:rPr>
            </w:pPr>
          </w:p>
        </w:tc>
        <w:tc>
          <w:tcPr>
            <w:tcW w:w="6949" w:type="dxa"/>
            <w:gridSpan w:val="2"/>
          </w:tcPr>
          <w:p w:rsidR="00094095" w:rsidRPr="002C678A" w:rsidRDefault="00094095"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□2、存在上下游关系的参与集中的经营者，在上下游市场所占的市场份额均小于25%。</w:t>
            </w:r>
          </w:p>
        </w:tc>
      </w:tr>
      <w:tr w:rsidR="00094095" w:rsidRPr="002C678A" w:rsidTr="002F2D60">
        <w:trPr>
          <w:trHeight w:val="285"/>
        </w:trPr>
        <w:tc>
          <w:tcPr>
            <w:tcW w:w="1809" w:type="dxa"/>
            <w:vMerge/>
            <w:shd w:val="clear" w:color="auto" w:fill="D9D9D9"/>
          </w:tcPr>
          <w:p w:rsidR="00094095" w:rsidRPr="002C678A" w:rsidRDefault="00094095" w:rsidP="002F2D60">
            <w:pPr>
              <w:spacing w:line="500" w:lineRule="exact"/>
              <w:rPr>
                <w:rFonts w:ascii="楷体_GB2312" w:eastAsia="楷体_GB2312" w:hAnsi="仿宋" w:hint="eastAsia"/>
                <w:sz w:val="28"/>
                <w:szCs w:val="28"/>
              </w:rPr>
            </w:pPr>
          </w:p>
        </w:tc>
        <w:tc>
          <w:tcPr>
            <w:tcW w:w="6949" w:type="dxa"/>
            <w:gridSpan w:val="2"/>
          </w:tcPr>
          <w:p w:rsidR="00094095" w:rsidRPr="002C678A" w:rsidRDefault="00094095"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□3、不在同一相关市场、也不存在上下游关系的参与集中的经营者，在与交易有关的每个市场所占的份额均小于25%。</w:t>
            </w:r>
          </w:p>
        </w:tc>
      </w:tr>
      <w:tr w:rsidR="00094095" w:rsidRPr="002C678A" w:rsidTr="002F2D60">
        <w:trPr>
          <w:trHeight w:val="870"/>
        </w:trPr>
        <w:tc>
          <w:tcPr>
            <w:tcW w:w="1809" w:type="dxa"/>
            <w:vMerge/>
            <w:shd w:val="clear" w:color="auto" w:fill="D9D9D9"/>
          </w:tcPr>
          <w:p w:rsidR="00094095" w:rsidRPr="002C678A" w:rsidRDefault="00094095" w:rsidP="002F2D60">
            <w:pPr>
              <w:spacing w:line="500" w:lineRule="exact"/>
              <w:rPr>
                <w:rFonts w:ascii="楷体_GB2312" w:eastAsia="楷体_GB2312" w:hAnsi="仿宋" w:hint="eastAsia"/>
                <w:sz w:val="28"/>
                <w:szCs w:val="28"/>
              </w:rPr>
            </w:pPr>
          </w:p>
        </w:tc>
        <w:tc>
          <w:tcPr>
            <w:tcW w:w="6949" w:type="dxa"/>
            <w:gridSpan w:val="2"/>
          </w:tcPr>
          <w:p w:rsidR="00094095" w:rsidRPr="002C678A" w:rsidRDefault="00094095"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□4、参与集中的经营者在中国境外设立合营企业，合营企业不在中国境内从事经济活动。</w:t>
            </w:r>
          </w:p>
        </w:tc>
      </w:tr>
      <w:tr w:rsidR="00094095" w:rsidRPr="002C678A" w:rsidTr="002F2D60">
        <w:trPr>
          <w:trHeight w:val="264"/>
        </w:trPr>
        <w:tc>
          <w:tcPr>
            <w:tcW w:w="1809" w:type="dxa"/>
            <w:vMerge/>
            <w:shd w:val="clear" w:color="auto" w:fill="D9D9D9"/>
          </w:tcPr>
          <w:p w:rsidR="00094095" w:rsidRPr="002C678A" w:rsidRDefault="00094095" w:rsidP="002F2D60">
            <w:pPr>
              <w:spacing w:line="500" w:lineRule="exact"/>
              <w:rPr>
                <w:rFonts w:ascii="楷体_GB2312" w:eastAsia="楷体_GB2312" w:hAnsi="仿宋" w:hint="eastAsia"/>
                <w:sz w:val="28"/>
                <w:szCs w:val="28"/>
              </w:rPr>
            </w:pPr>
          </w:p>
        </w:tc>
        <w:tc>
          <w:tcPr>
            <w:tcW w:w="6949" w:type="dxa"/>
            <w:gridSpan w:val="2"/>
          </w:tcPr>
          <w:p w:rsidR="00094095" w:rsidRPr="002C678A" w:rsidRDefault="00094095"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□5、参与集中的经营者收购境外企业股权或资产的，该境外企业不在中国境内从事经济活动。</w:t>
            </w:r>
          </w:p>
        </w:tc>
      </w:tr>
      <w:tr w:rsidR="00094095" w:rsidRPr="002C678A" w:rsidTr="002F2D60">
        <w:trPr>
          <w:trHeight w:val="345"/>
        </w:trPr>
        <w:tc>
          <w:tcPr>
            <w:tcW w:w="1809" w:type="dxa"/>
            <w:vMerge/>
            <w:shd w:val="clear" w:color="auto" w:fill="D9D9D9"/>
          </w:tcPr>
          <w:p w:rsidR="00094095" w:rsidRPr="002C678A" w:rsidRDefault="00094095" w:rsidP="002F2D60">
            <w:pPr>
              <w:spacing w:line="500" w:lineRule="exact"/>
              <w:rPr>
                <w:rFonts w:ascii="楷体_GB2312" w:eastAsia="楷体_GB2312" w:hAnsi="仿宋" w:hint="eastAsia"/>
                <w:sz w:val="28"/>
                <w:szCs w:val="28"/>
              </w:rPr>
            </w:pPr>
          </w:p>
        </w:tc>
        <w:tc>
          <w:tcPr>
            <w:tcW w:w="6949" w:type="dxa"/>
            <w:gridSpan w:val="2"/>
          </w:tcPr>
          <w:p w:rsidR="00094095" w:rsidRPr="002C678A" w:rsidRDefault="00094095"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□6、由两个以上的经营者共同控制的合营企业，通过集中被其中一个或一个以上经营者控制。</w:t>
            </w:r>
          </w:p>
        </w:tc>
      </w:tr>
      <w:tr w:rsidR="00094095" w:rsidRPr="002C678A" w:rsidTr="002F2D60">
        <w:tc>
          <w:tcPr>
            <w:tcW w:w="1809" w:type="dxa"/>
            <w:shd w:val="clear" w:color="auto" w:fill="D9D9D9"/>
          </w:tcPr>
          <w:p w:rsidR="00094095" w:rsidRPr="002C678A" w:rsidRDefault="00094095" w:rsidP="002F2D60">
            <w:pPr>
              <w:spacing w:line="500" w:lineRule="exact"/>
              <w:rPr>
                <w:rFonts w:ascii="楷体_GB2312" w:eastAsia="楷体_GB2312" w:hAnsi="仿宋" w:hint="eastAsia"/>
                <w:sz w:val="28"/>
                <w:szCs w:val="28"/>
              </w:rPr>
            </w:pPr>
            <w:r w:rsidRPr="002C678A">
              <w:rPr>
                <w:rFonts w:ascii="楷体_GB2312" w:eastAsia="楷体_GB2312" w:hAnsi="仿宋" w:hint="eastAsia"/>
                <w:sz w:val="28"/>
                <w:szCs w:val="28"/>
              </w:rPr>
              <w:t>备注</w:t>
            </w:r>
          </w:p>
        </w:tc>
        <w:tc>
          <w:tcPr>
            <w:tcW w:w="6949" w:type="dxa"/>
            <w:gridSpan w:val="2"/>
          </w:tcPr>
          <w:p w:rsidR="00094095" w:rsidRPr="002C678A" w:rsidRDefault="00DC0892" w:rsidP="002F2D60">
            <w:pPr>
              <w:spacing w:line="500" w:lineRule="exact"/>
              <w:rPr>
                <w:rFonts w:ascii="楷体_GB2312" w:eastAsia="楷体_GB2312" w:hAnsi="仿宋" w:hint="eastAsia"/>
                <w:sz w:val="28"/>
                <w:szCs w:val="28"/>
              </w:rPr>
            </w:pPr>
            <w:r w:rsidRPr="002C678A">
              <w:rPr>
                <w:rFonts w:ascii="楷体_GB2312" w:eastAsia="楷体_GB2312" w:hAnsi="仿宋" w:hint="eastAsia"/>
                <w:b/>
                <w:sz w:val="28"/>
                <w:szCs w:val="28"/>
                <w:u w:val="single"/>
              </w:rPr>
              <w:t>相关市场</w:t>
            </w:r>
            <w:r w:rsidRPr="002C678A">
              <w:rPr>
                <w:rFonts w:ascii="楷体_GB2312" w:eastAsia="楷体_GB2312" w:hAnsi="仿宋" w:hint="eastAsia"/>
                <w:sz w:val="28"/>
                <w:szCs w:val="28"/>
              </w:rPr>
              <w:t>：企业密钥管理（中国）</w:t>
            </w:r>
          </w:p>
          <w:p w:rsidR="00DC0892" w:rsidRPr="002C678A" w:rsidRDefault="00DC0892" w:rsidP="00DC0892">
            <w:pPr>
              <w:spacing w:line="500" w:lineRule="exact"/>
              <w:rPr>
                <w:rFonts w:ascii="楷体_GB2312" w:eastAsia="楷体_GB2312" w:hAnsi="仿宋" w:hint="eastAsia"/>
                <w:sz w:val="28"/>
                <w:szCs w:val="28"/>
              </w:rPr>
            </w:pPr>
            <w:r w:rsidRPr="002C678A">
              <w:rPr>
                <w:rFonts w:ascii="楷体_GB2312" w:eastAsia="楷体_GB2312" w:hAnsi="仿宋" w:hint="eastAsia"/>
                <w:b/>
                <w:sz w:val="28"/>
                <w:szCs w:val="28"/>
                <w:u w:val="single"/>
              </w:rPr>
              <w:t>市场份额</w:t>
            </w:r>
            <w:r w:rsidRPr="002C678A">
              <w:rPr>
                <w:rFonts w:ascii="楷体_GB2312" w:eastAsia="楷体_GB2312" w:hAnsi="仿宋" w:hint="eastAsia"/>
                <w:sz w:val="28"/>
                <w:szCs w:val="28"/>
              </w:rPr>
              <w:t>：泰雷兹[0-5]%,金雅拓[0-5]%</w:t>
            </w:r>
          </w:p>
        </w:tc>
      </w:tr>
    </w:tbl>
    <w:p w:rsidR="00F87C1F" w:rsidRPr="002C678A" w:rsidRDefault="00F87C1F">
      <w:pPr>
        <w:rPr>
          <w:rFonts w:ascii="楷体_GB2312" w:eastAsia="楷体_GB2312" w:hAnsi="仿宋" w:hint="eastAsia"/>
          <w:sz w:val="28"/>
        </w:rPr>
      </w:pPr>
    </w:p>
    <w:sectPr w:rsidR="00F87C1F" w:rsidRPr="002C678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494B" w:rsidRDefault="00FA494B" w:rsidP="00094095">
      <w:r>
        <w:separator/>
      </w:r>
    </w:p>
  </w:endnote>
  <w:endnote w:type="continuationSeparator" w:id="0">
    <w:p w:rsidR="00FA494B" w:rsidRDefault="00FA494B"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仿宋">
    <w:altName w:val="Arial Unicode MS"/>
    <w:charset w:val="86"/>
    <w:family w:val="modern"/>
    <w:pitch w:val="fixed"/>
    <w:sig w:usb0="00000000"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494B" w:rsidRDefault="00FA494B" w:rsidP="00094095">
      <w:r>
        <w:separator/>
      </w:r>
    </w:p>
  </w:footnote>
  <w:footnote w:type="continuationSeparator" w:id="0">
    <w:p w:rsidR="00FA494B" w:rsidRDefault="00FA494B"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BD4BA2"/>
    <w:multiLevelType w:val="hybridMultilevel"/>
    <w:tmpl w:val="6E0650F6"/>
    <w:lvl w:ilvl="0" w:tplc="1514FCEC">
      <w:start w:val="1"/>
      <w:numFmt w:val="decimal"/>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B1F531F"/>
    <w:multiLevelType w:val="hybridMultilevel"/>
    <w:tmpl w:val="61D6DC90"/>
    <w:lvl w:ilvl="0" w:tplc="4244C008">
      <w:start w:val="1"/>
      <w:numFmt w:val="decimal"/>
      <w:lvlText w:val="（%1）"/>
      <w:lvlJc w:val="left"/>
      <w:pPr>
        <w:ind w:left="420" w:hanging="420"/>
      </w:pPr>
      <w:rPr>
        <w:rFonts w:ascii="Times New Roman" w:eastAsia="仿宋"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94095"/>
    <w:rsid w:val="00003C3C"/>
    <w:rsid w:val="00094095"/>
    <w:rsid w:val="00245776"/>
    <w:rsid w:val="00251674"/>
    <w:rsid w:val="002C678A"/>
    <w:rsid w:val="002F2D60"/>
    <w:rsid w:val="00307976"/>
    <w:rsid w:val="00317F1B"/>
    <w:rsid w:val="00366856"/>
    <w:rsid w:val="00454EE5"/>
    <w:rsid w:val="00462174"/>
    <w:rsid w:val="004E30DA"/>
    <w:rsid w:val="004E57DA"/>
    <w:rsid w:val="005B0103"/>
    <w:rsid w:val="005F167B"/>
    <w:rsid w:val="006751D5"/>
    <w:rsid w:val="009A6386"/>
    <w:rsid w:val="00BA0750"/>
    <w:rsid w:val="00BA7CB7"/>
    <w:rsid w:val="00BB2377"/>
    <w:rsid w:val="00C9068E"/>
    <w:rsid w:val="00D21777"/>
    <w:rsid w:val="00DC0892"/>
    <w:rsid w:val="00ED21B1"/>
    <w:rsid w:val="00F35260"/>
    <w:rsid w:val="00F45C90"/>
    <w:rsid w:val="00F87C1F"/>
    <w:rsid w:val="00FA494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2C678A"/>
    <w:rPr>
      <w:sz w:val="18"/>
      <w:szCs w:val="18"/>
    </w:rPr>
  </w:style>
  <w:style w:type="character" w:customStyle="1" w:styleId="Char2">
    <w:name w:val="批注框文本 Char"/>
    <w:link w:val="a8"/>
    <w:uiPriority w:val="99"/>
    <w:semiHidden/>
    <w:rsid w:val="002C678A"/>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119910-DE6D-4456-858D-CB2891EF6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106</Words>
  <Characters>608</Characters>
  <Application>Microsoft Office Word</Application>
  <DocSecurity>0</DocSecurity>
  <Lines>5</Lines>
  <Paragraphs>1</Paragraphs>
  <ScaleCrop>false</ScaleCrop>
  <Company/>
  <LinksUpToDate>false</LinksUpToDate>
  <CharactersWithSpaces>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mofcom</cp:lastModifiedBy>
  <cp:revision>6</cp:revision>
  <cp:lastPrinted>2018-07-05T07:10:00Z</cp:lastPrinted>
  <dcterms:created xsi:type="dcterms:W3CDTF">2018-05-25T01:33:00Z</dcterms:created>
  <dcterms:modified xsi:type="dcterms:W3CDTF">2018-07-05T07:10:00Z</dcterms:modified>
</cp:coreProperties>
</file>