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2E37" w:rsidRPr="00E07C58" w:rsidRDefault="00662E37" w:rsidP="00662E37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E07C58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662E37" w:rsidRPr="00E07C58" w:rsidRDefault="00662E37" w:rsidP="008203B0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662E37" w:rsidRPr="00E07C58" w:rsidTr="0033067C">
        <w:tc>
          <w:tcPr>
            <w:tcW w:w="1809" w:type="dxa"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r w:rsidRPr="00E07C58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shd w:val="clear" w:color="auto" w:fill="auto"/>
            <w:vAlign w:val="center"/>
          </w:tcPr>
          <w:p w:rsidR="00662E37" w:rsidRPr="00E07C58" w:rsidRDefault="00820C09" w:rsidP="00662E37">
            <w:pPr>
              <w:widowControl/>
              <w:snapToGrid w:val="0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820C09">
              <w:rPr>
                <w:rFonts w:ascii="Times New Roman" w:eastAsia="仿宋" w:hAnsi="Times New Roman"/>
                <w:kern w:val="0"/>
                <w:sz w:val="24"/>
                <w:szCs w:val="24"/>
              </w:rPr>
              <w:t>USFI SPI</w:t>
            </w:r>
            <w:r w:rsidRPr="00820C09">
              <w:rPr>
                <w:rFonts w:ascii="Times New Roman" w:eastAsia="仿宋" w:hAnsi="Times New Roman"/>
                <w:kern w:val="0"/>
                <w:sz w:val="24"/>
                <w:szCs w:val="24"/>
              </w:rPr>
              <w:t>风险贷款私人有限公司</w:t>
            </w: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（以下简称“</w:t>
            </w:r>
            <w:r w:rsidRPr="00820C09">
              <w:rPr>
                <w:rFonts w:ascii="Times New Roman" w:eastAsia="仿宋" w:hAnsi="Times New Roman" w:hint="eastAsia"/>
                <w:b/>
                <w:kern w:val="0"/>
                <w:sz w:val="24"/>
                <w:szCs w:val="24"/>
              </w:rPr>
              <w:t>USFI</w:t>
            </w:r>
            <w:r w:rsidRPr="00820C09">
              <w:rPr>
                <w:rFonts w:ascii="Times New Roman" w:eastAsia="仿宋" w:hAnsi="Times New Roman"/>
                <w:b/>
                <w:kern w:val="0"/>
                <w:sz w:val="24"/>
                <w:szCs w:val="24"/>
              </w:rPr>
              <w:t xml:space="preserve"> SP</w:t>
            </w:r>
            <w:r>
              <w:rPr>
                <w:rFonts w:ascii="Times New Roman" w:eastAsia="仿宋" w:hAnsi="Times New Roman"/>
                <w:kern w:val="0"/>
                <w:sz w:val="24"/>
                <w:szCs w:val="24"/>
              </w:rPr>
              <w:t>I</w:t>
            </w: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”）</w:t>
            </w:r>
            <w:r w:rsidRPr="00820C09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与加拿大养老金计划投资委员会</w:t>
            </w: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（以下简称“</w:t>
            </w:r>
            <w:r w:rsidRPr="00820C09">
              <w:rPr>
                <w:rFonts w:ascii="Times New Roman" w:eastAsia="仿宋" w:hAnsi="Times New Roman" w:hint="eastAsia"/>
                <w:b/>
                <w:kern w:val="0"/>
                <w:sz w:val="24"/>
                <w:szCs w:val="24"/>
              </w:rPr>
              <w:t>加拿大养老金委员会</w:t>
            </w: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”）</w:t>
            </w:r>
            <w:r w:rsidRPr="00820C09">
              <w:rPr>
                <w:rFonts w:ascii="Times New Roman" w:eastAsia="仿宋" w:hAnsi="Times New Roman"/>
                <w:kern w:val="0"/>
                <w:sz w:val="24"/>
                <w:szCs w:val="24"/>
              </w:rPr>
              <w:t>等经营者新设合营企业案</w:t>
            </w:r>
          </w:p>
        </w:tc>
      </w:tr>
      <w:tr w:rsidR="00662E37" w:rsidRPr="00E07C58" w:rsidTr="0033067C">
        <w:trPr>
          <w:trHeight w:val="993"/>
        </w:trPr>
        <w:tc>
          <w:tcPr>
            <w:tcW w:w="1809" w:type="dxa"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r w:rsidRPr="00E07C58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  <w:shd w:val="clear" w:color="auto" w:fill="auto"/>
            <w:vAlign w:val="center"/>
          </w:tcPr>
          <w:p w:rsidR="00662E37" w:rsidRPr="00E07C58" w:rsidRDefault="00E64C64" w:rsidP="00E64C64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E64C64">
              <w:rPr>
                <w:rFonts w:ascii="Times New Roman" w:eastAsia="仿宋" w:hAnsi="Times New Roman"/>
                <w:sz w:val="24"/>
                <w:szCs w:val="24"/>
              </w:rPr>
              <w:t>USFI SPI</w:t>
            </w:r>
            <w:r w:rsidRPr="00E64C64">
              <w:rPr>
                <w:rFonts w:ascii="Times New Roman" w:eastAsia="仿宋" w:hAnsi="Times New Roman" w:hint="eastAsia"/>
                <w:sz w:val="24"/>
                <w:szCs w:val="24"/>
              </w:rPr>
              <w:t>、加拿大养老金委员会（通过加拿大养老金委员会全资子公司</w:t>
            </w:r>
            <w:r w:rsidRPr="00E64C64">
              <w:rPr>
                <w:rFonts w:ascii="Times New Roman" w:eastAsia="仿宋" w:hAnsi="Times New Roman"/>
                <w:sz w:val="24"/>
                <w:szCs w:val="24"/>
              </w:rPr>
              <w:t>CPPIB Credit Investments Inc.</w:t>
            </w:r>
            <w:r w:rsidRPr="00E64C64">
              <w:rPr>
                <w:rFonts w:ascii="Times New Roman" w:eastAsia="仿宋" w:hAnsi="Times New Roman" w:hint="eastAsia"/>
                <w:sz w:val="24"/>
                <w:szCs w:val="24"/>
              </w:rPr>
              <w:t>）及兆华斯坦地产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有限公司</w:t>
            </w:r>
            <w:r w:rsidRPr="00E64C64">
              <w:rPr>
                <w:rFonts w:ascii="Times New Roman" w:eastAsia="仿宋" w:hAnsi="Times New Roman" w:hint="eastAsia"/>
                <w:sz w:val="24"/>
                <w:szCs w:val="24"/>
              </w:rPr>
              <w:t>（通过兆华斯坦</w:t>
            </w:r>
            <w:r w:rsidRPr="00E64C64">
              <w:rPr>
                <w:rFonts w:ascii="Times New Roman" w:eastAsia="仿宋" w:hAnsi="Times New Roman" w:hint="eastAsia"/>
                <w:sz w:val="24"/>
                <w:szCs w:val="24"/>
              </w:rPr>
              <w:t>DF GP</w:t>
            </w:r>
            <w:r w:rsidRPr="00E64C64">
              <w:rPr>
                <w:rFonts w:ascii="Times New Roman" w:eastAsia="仿宋" w:hAnsi="Times New Roman" w:hint="eastAsia"/>
                <w:sz w:val="24"/>
                <w:szCs w:val="24"/>
              </w:rPr>
              <w:t>有限责任公司和兆华斯坦</w:t>
            </w:r>
            <w:r w:rsidRPr="00E64C64">
              <w:rPr>
                <w:rFonts w:ascii="Times New Roman" w:eastAsia="仿宋" w:hAnsi="Times New Roman" w:hint="eastAsia"/>
                <w:sz w:val="24"/>
                <w:szCs w:val="24"/>
              </w:rPr>
              <w:t>DF LP</w:t>
            </w:r>
            <w:r w:rsidRPr="00E64C64">
              <w:rPr>
                <w:rFonts w:ascii="Times New Roman" w:eastAsia="仿宋" w:hAnsi="Times New Roman" w:hint="eastAsia"/>
                <w:sz w:val="24"/>
                <w:szCs w:val="24"/>
              </w:rPr>
              <w:t>有限责任公司）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共同</w:t>
            </w:r>
            <w:r w:rsidRPr="00E64C64">
              <w:rPr>
                <w:rFonts w:ascii="Times New Roman" w:eastAsia="仿宋" w:hAnsi="Times New Roman" w:hint="eastAsia"/>
                <w:sz w:val="24"/>
                <w:szCs w:val="24"/>
              </w:rPr>
              <w:t>设立合营企业“兆华斯坦资本合伙人有限合伙企业”（以下简称“</w:t>
            </w:r>
            <w:r w:rsidRPr="00E64C64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合营企业</w:t>
            </w:r>
            <w:r w:rsidRPr="00E64C64">
              <w:rPr>
                <w:rFonts w:ascii="Times New Roman" w:eastAsia="仿宋" w:hAnsi="Times New Roman" w:hint="eastAsia"/>
                <w:sz w:val="24"/>
                <w:szCs w:val="24"/>
              </w:rPr>
              <w:t>”），该合营</w:t>
            </w:r>
            <w:bookmarkStart w:id="0" w:name="_GoBack"/>
            <w:bookmarkEnd w:id="0"/>
            <w:r w:rsidRPr="00E64C64">
              <w:rPr>
                <w:rFonts w:ascii="Times New Roman" w:eastAsia="仿宋" w:hAnsi="Times New Roman" w:hint="eastAsia"/>
                <w:sz w:val="24"/>
                <w:szCs w:val="24"/>
              </w:rPr>
              <w:t>企业旨在为美国境内破土动工的地面建设、增值再配置相关的借款人提供救助资金及次级贷款，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提供过桥贷款</w:t>
            </w:r>
            <w:r w:rsidRPr="00E64C64">
              <w:rPr>
                <w:rFonts w:ascii="Times New Roman" w:eastAsia="仿宋" w:hAnsi="Times New Roman" w:hint="eastAsia"/>
                <w:sz w:val="24"/>
                <w:szCs w:val="24"/>
              </w:rPr>
              <w:t>和为已完工项目提供存货贷款，特别是位于纽约大都市区域的商住项目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662E37" w:rsidRPr="00E07C58" w:rsidTr="0033067C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r w:rsidRPr="00E07C58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shd w:val="clear" w:color="auto" w:fill="auto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E07C58">
              <w:rPr>
                <w:rFonts w:ascii="仿宋_GB2312" w:eastAsia="仿宋_GB2312" w:hAnsi="Times New Roman" w:hint="eastAsia"/>
                <w:sz w:val="24"/>
                <w:szCs w:val="24"/>
              </w:rPr>
              <w:t>1、</w:t>
            </w:r>
            <w:r w:rsidR="00820C09" w:rsidRPr="00820C09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USFI SPI</w:t>
            </w:r>
            <w:r w:rsidR="00820C09" w:rsidRPr="00820C09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风险贷款私人有限公司（</w:t>
            </w:r>
            <w:r w:rsidR="00820C09" w:rsidRPr="00820C09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USFI SPI Lending Venture Private Limited</w:t>
            </w:r>
            <w:r w:rsidR="00820C09" w:rsidRPr="00820C09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）</w:t>
            </w:r>
          </w:p>
        </w:tc>
        <w:tc>
          <w:tcPr>
            <w:tcW w:w="5153" w:type="dxa"/>
            <w:shd w:val="clear" w:color="auto" w:fill="auto"/>
            <w:vAlign w:val="center"/>
          </w:tcPr>
          <w:p w:rsidR="00662E37" w:rsidRPr="00820C09" w:rsidRDefault="00820C09" w:rsidP="00662E37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820C09">
              <w:rPr>
                <w:rFonts w:ascii="Times New Roman" w:eastAsia="仿宋" w:hAnsi="Times New Roman" w:hint="eastAsia"/>
                <w:sz w:val="24"/>
                <w:szCs w:val="24"/>
              </w:rPr>
              <w:t>USFI</w:t>
            </w:r>
            <w:r w:rsidRPr="00820C09">
              <w:rPr>
                <w:rFonts w:ascii="Times New Roman" w:eastAsia="仿宋" w:hAnsi="Times New Roman"/>
                <w:sz w:val="24"/>
                <w:szCs w:val="24"/>
              </w:rPr>
              <w:t xml:space="preserve"> SPI</w:t>
            </w:r>
            <w:r w:rsidRPr="00820C09">
              <w:rPr>
                <w:rFonts w:ascii="Times New Roman" w:eastAsia="仿宋" w:hAnsi="Times New Roman"/>
                <w:sz w:val="24"/>
                <w:szCs w:val="24"/>
              </w:rPr>
              <w:t>是一家</w:t>
            </w:r>
            <w:r w:rsidRPr="00820C09">
              <w:rPr>
                <w:rFonts w:ascii="Times New Roman" w:eastAsia="仿宋" w:hAnsi="Times New Roman"/>
                <w:sz w:val="24"/>
                <w:szCs w:val="24"/>
              </w:rPr>
              <w:t>GIC</w:t>
            </w:r>
            <w:r w:rsidRPr="00820C09">
              <w:rPr>
                <w:rFonts w:ascii="Times New Roman" w:eastAsia="仿宋" w:hAnsi="Times New Roman"/>
                <w:sz w:val="24"/>
                <w:szCs w:val="24"/>
              </w:rPr>
              <w:t>不动产直接设立的</w:t>
            </w:r>
            <w:r w:rsidRPr="00820C09">
              <w:rPr>
                <w:rFonts w:ascii="Times New Roman" w:eastAsia="仿宋" w:hAnsi="Times New Roman" w:hint="eastAsia"/>
                <w:sz w:val="24"/>
                <w:szCs w:val="24"/>
              </w:rPr>
              <w:t>、</w:t>
            </w:r>
            <w:r w:rsidRPr="00820C09">
              <w:rPr>
                <w:rFonts w:ascii="Times New Roman" w:eastAsia="仿宋" w:hAnsi="Times New Roman"/>
                <w:sz w:val="24"/>
                <w:szCs w:val="24"/>
              </w:rPr>
              <w:t>专为投资不动产项目的持股平台</w:t>
            </w:r>
            <w:r w:rsidRPr="00820C09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  <w:r w:rsidRPr="00820C09">
              <w:rPr>
                <w:rFonts w:ascii="Times New Roman" w:eastAsia="仿宋" w:hAnsi="Times New Roman"/>
                <w:sz w:val="24"/>
                <w:szCs w:val="24"/>
              </w:rPr>
              <w:t>USFI SPI</w:t>
            </w:r>
            <w:r w:rsidRPr="00820C09">
              <w:rPr>
                <w:rFonts w:ascii="Times New Roman" w:eastAsia="仿宋" w:hAnsi="Times New Roman"/>
                <w:sz w:val="24"/>
                <w:szCs w:val="24"/>
              </w:rPr>
              <w:t>的主要业务为在合营企业中持有权益</w:t>
            </w:r>
            <w:r w:rsidRPr="00820C09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  <w:r w:rsidRPr="00820C09">
              <w:rPr>
                <w:rFonts w:ascii="Times New Roman" w:eastAsia="仿宋" w:hAnsi="Times New Roman"/>
                <w:sz w:val="24"/>
                <w:szCs w:val="24"/>
              </w:rPr>
              <w:t>合营企业将作为一家专注于美国不动产项目的建设贷款平台</w:t>
            </w:r>
            <w:r w:rsidRPr="00820C09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662E37" w:rsidRPr="00E07C58" w:rsidTr="0033067C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shd w:val="clear" w:color="auto" w:fill="auto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E07C58">
              <w:rPr>
                <w:rFonts w:ascii="仿宋_GB2312" w:eastAsia="仿宋_GB2312" w:hAnsi="Times New Roman" w:hint="eastAsia"/>
                <w:sz w:val="24"/>
                <w:szCs w:val="24"/>
              </w:rPr>
              <w:t>2、</w:t>
            </w:r>
            <w:r w:rsidR="00820C09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加拿大养老金委员会</w:t>
            </w:r>
            <w:r w:rsidR="00820C09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（</w:t>
            </w:r>
            <w:r w:rsidR="00820C09" w:rsidRPr="00820C09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Canada Pension Plan Investment Board</w:t>
            </w:r>
            <w:r w:rsidR="00820C09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）</w:t>
            </w:r>
          </w:p>
        </w:tc>
        <w:tc>
          <w:tcPr>
            <w:tcW w:w="5153" w:type="dxa"/>
            <w:shd w:val="clear" w:color="auto" w:fill="auto"/>
            <w:vAlign w:val="center"/>
          </w:tcPr>
          <w:p w:rsidR="00662E37" w:rsidRPr="00E07C58" w:rsidRDefault="00820C09" w:rsidP="00FD3CBA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820C09">
              <w:rPr>
                <w:rFonts w:ascii="Times New Roman" w:eastAsia="仿宋" w:hAnsi="Times New Roman" w:hint="eastAsia"/>
                <w:sz w:val="24"/>
                <w:szCs w:val="24"/>
              </w:rPr>
              <w:t>加拿大养老金委员会是根据议会法案于</w:t>
            </w:r>
            <w:r w:rsidRPr="00820C09">
              <w:rPr>
                <w:rFonts w:ascii="Times New Roman" w:eastAsia="仿宋" w:hAnsi="Times New Roman"/>
                <w:sz w:val="24"/>
                <w:szCs w:val="24"/>
              </w:rPr>
              <w:t>1997</w:t>
            </w:r>
            <w:r w:rsidRPr="00820C09">
              <w:rPr>
                <w:rFonts w:ascii="Times New Roman" w:eastAsia="仿宋" w:hAnsi="Times New Roman" w:hint="eastAsia"/>
                <w:sz w:val="24"/>
                <w:szCs w:val="24"/>
              </w:rPr>
              <w:t>年设立的加拿大联邦皇家企业。作为一家专业投资管理机构，加拿大养老金委员会的长期目标在于通过资产投资，促进加拿大养老金计划资金的增值，实现</w:t>
            </w:r>
            <w:r w:rsidRPr="00820C09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Pr="00820C09">
              <w:rPr>
                <w:rFonts w:ascii="Times New Roman" w:eastAsia="仿宋" w:hAnsi="Times New Roman" w:hint="eastAsia"/>
                <w:sz w:val="24"/>
                <w:szCs w:val="24"/>
              </w:rPr>
              <w:t>千万加拿大出资人和受益人的最大利益，在不产生不合理风险的前提下实现收益的最大化。</w:t>
            </w:r>
          </w:p>
        </w:tc>
      </w:tr>
      <w:tr w:rsidR="00662E37" w:rsidRPr="00E07C58" w:rsidTr="0033067C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shd w:val="clear" w:color="auto" w:fill="auto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E07C58">
              <w:rPr>
                <w:rFonts w:ascii="仿宋_GB2312" w:eastAsia="仿宋_GB2312" w:hAnsi="Times New Roman" w:hint="eastAsia"/>
                <w:sz w:val="24"/>
                <w:szCs w:val="24"/>
              </w:rPr>
              <w:t>3、</w:t>
            </w:r>
            <w:r w:rsidR="00820C09" w:rsidRPr="00820C09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兆华斯坦地产有限公司（</w:t>
            </w:r>
            <w:r w:rsidR="00820C09" w:rsidRPr="00820C09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Silverstein Properties, Inc.</w:t>
            </w:r>
            <w:r w:rsidR="00820C09" w:rsidRPr="00820C09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）（以下简称“</w:t>
            </w:r>
            <w:r w:rsidR="00820C09" w:rsidRPr="00820C09">
              <w:rPr>
                <w:rFonts w:ascii="Times New Roman" w:eastAsia="仿宋" w:hAnsi="Times New Roman" w:hint="eastAsia"/>
                <w:b/>
                <w:bCs/>
                <w:kern w:val="0"/>
                <w:sz w:val="24"/>
                <w:szCs w:val="24"/>
              </w:rPr>
              <w:t>兆华斯坦地产</w:t>
            </w:r>
            <w:r w:rsidR="00820C09" w:rsidRPr="00820C09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”）</w:t>
            </w:r>
          </w:p>
        </w:tc>
        <w:tc>
          <w:tcPr>
            <w:tcW w:w="5153" w:type="dxa"/>
            <w:shd w:val="clear" w:color="auto" w:fill="auto"/>
            <w:vAlign w:val="center"/>
          </w:tcPr>
          <w:p w:rsidR="00662E37" w:rsidRPr="00E07C58" w:rsidRDefault="00820C09" w:rsidP="00367883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820C09">
              <w:rPr>
                <w:rFonts w:ascii="Times New Roman" w:eastAsia="仿宋" w:hAnsi="Times New Roman" w:hint="eastAsia"/>
                <w:sz w:val="24"/>
                <w:szCs w:val="24"/>
              </w:rPr>
              <w:t>兆华斯坦地产是一家总部位于纽约，提供房地产开发、投资、管理全方位服务的私人公司。兆华斯坦地产开发、持有，并管理超过</w:t>
            </w:r>
            <w:r w:rsidRPr="00820C09">
              <w:rPr>
                <w:rFonts w:ascii="Times New Roman" w:eastAsia="仿宋" w:hAnsi="Times New Roman" w:hint="eastAsia"/>
                <w:sz w:val="24"/>
                <w:szCs w:val="24"/>
              </w:rPr>
              <w:t>4</w:t>
            </w:r>
            <w:r w:rsidRPr="00820C09">
              <w:rPr>
                <w:rFonts w:ascii="Times New Roman" w:eastAsia="仿宋" w:hAnsi="Times New Roman" w:hint="eastAsia"/>
                <w:sz w:val="24"/>
                <w:szCs w:val="24"/>
              </w:rPr>
              <w:t>千万平方英尺的办公室、住宅、酒店及零售地产</w:t>
            </w:r>
            <w:r w:rsidR="00367883">
              <w:rPr>
                <w:rFonts w:ascii="Times New Roman" w:eastAsia="仿宋" w:hAnsi="Times New Roman" w:hint="eastAsia"/>
                <w:sz w:val="24"/>
                <w:szCs w:val="24"/>
              </w:rPr>
              <w:t>（包含世贸中心在内）</w:t>
            </w:r>
            <w:r w:rsidRPr="00820C09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662E37" w:rsidRPr="00E07C58" w:rsidTr="0033067C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r w:rsidRPr="00E07C58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简易案件理由</w:t>
            </w:r>
            <w:r w:rsidRPr="00E07C58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lastRenderedPageBreak/>
              <w:t>（可以单选，也可以多选）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662E37" w:rsidRPr="00E07C58" w:rsidRDefault="00FD3CBA" w:rsidP="00662E3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>
              <w:rPr>
                <w:rFonts w:ascii="Wingdings" w:eastAsia="仿宋" w:hAnsi="Wingdings"/>
                <w:sz w:val="24"/>
                <w:szCs w:val="24"/>
              </w:rPr>
              <w:lastRenderedPageBreak/>
              <w:sym w:font="Wingdings" w:char="F0A8"/>
            </w:r>
            <w:r w:rsidR="00662E37" w:rsidRPr="00E07C58">
              <w:rPr>
                <w:rFonts w:ascii="Times New Roman" w:eastAsia="仿宋" w:hAnsi="Times New Roman" w:hint="eastAsia"/>
                <w:sz w:val="24"/>
                <w:szCs w:val="24"/>
              </w:rPr>
              <w:t xml:space="preserve"> </w:t>
            </w:r>
            <w:r w:rsidR="00662E37" w:rsidRPr="00E07C58">
              <w:rPr>
                <w:rFonts w:ascii="仿宋_GB2312" w:eastAsia="仿宋_GB2312" w:hAnsi="Times New Roman" w:hint="eastAsia"/>
                <w:sz w:val="24"/>
                <w:szCs w:val="24"/>
              </w:rPr>
              <w:t>1、在同一相关市场，所有参与集中的经营者所占市场份额之</w:t>
            </w:r>
            <w:r w:rsidR="00662E37" w:rsidRPr="00E07C58">
              <w:rPr>
                <w:rFonts w:ascii="仿宋_GB2312" w:eastAsia="仿宋_GB2312" w:hAnsi="Times New Roman" w:hint="eastAsia"/>
                <w:sz w:val="24"/>
                <w:szCs w:val="24"/>
              </w:rPr>
              <w:lastRenderedPageBreak/>
              <w:t>和小于15%。</w:t>
            </w:r>
          </w:p>
        </w:tc>
      </w:tr>
      <w:tr w:rsidR="00662E37" w:rsidRPr="00E07C58" w:rsidTr="0033067C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662E37" w:rsidRPr="00E07C58" w:rsidRDefault="00FD3CBA" w:rsidP="00662E3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>
              <w:rPr>
                <w:rFonts w:ascii="Wingdings" w:eastAsia="仿宋" w:hAnsi="Wingdings"/>
                <w:sz w:val="24"/>
                <w:szCs w:val="24"/>
              </w:rPr>
              <w:sym w:font="Wingdings" w:char="F0A8"/>
            </w:r>
            <w:r w:rsidR="00662E37" w:rsidRPr="00E07C58">
              <w:rPr>
                <w:rFonts w:ascii="Times New Roman" w:eastAsia="仿宋" w:hAnsi="Times New Roman" w:hint="eastAsia"/>
                <w:sz w:val="24"/>
                <w:szCs w:val="24"/>
              </w:rPr>
              <w:t xml:space="preserve"> </w:t>
            </w:r>
            <w:r w:rsidR="00662E37" w:rsidRPr="00E07C58">
              <w:rPr>
                <w:rFonts w:ascii="仿宋_GB2312" w:eastAsia="仿宋_GB2312" w:hAnsi="Times New Roman" w:hint="eastAsia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662E37" w:rsidRPr="00E07C58" w:rsidTr="0033067C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E07C58">
              <w:rPr>
                <w:rFonts w:ascii="仿宋_GB2312" w:eastAsia="仿宋_GB2312" w:hAnsi="Times New Roman" w:hint="eastAsia"/>
                <w:sz w:val="24"/>
                <w:szCs w:val="24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662E37" w:rsidRPr="00E07C58" w:rsidTr="0033067C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662E37" w:rsidRPr="00E07C58" w:rsidRDefault="00FD3CBA" w:rsidP="00662E3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sz w:val="24"/>
                <w:szCs w:val="24"/>
              </w:rPr>
              <w:sym w:font="Wingdings" w:char="F0FE"/>
            </w:r>
            <w:r w:rsidR="00662E37" w:rsidRPr="00E07C58">
              <w:rPr>
                <w:rFonts w:ascii="仿宋_GB2312" w:eastAsia="仿宋_GB2312" w:hAnsi="Times New Roman" w:hint="eastAsia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 w:rsidR="00662E37" w:rsidRPr="00E07C58" w:rsidTr="0033067C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662E37" w:rsidRPr="00E07C58" w:rsidRDefault="00820C09" w:rsidP="00662E3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E07C58">
              <w:rPr>
                <w:rFonts w:ascii="仿宋_GB2312" w:eastAsia="仿宋_GB2312" w:hAnsi="Times New Roman" w:hint="eastAsia"/>
                <w:sz w:val="24"/>
                <w:szCs w:val="24"/>
              </w:rPr>
              <w:t>□</w:t>
            </w:r>
            <w:r w:rsidR="00662E37" w:rsidRPr="00E07C58">
              <w:rPr>
                <w:rFonts w:ascii="仿宋_GB2312" w:eastAsia="仿宋_GB2312" w:hAnsi="Times New Roman" w:hint="eastAsia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 w:rsidR="00662E37" w:rsidRPr="00E07C58" w:rsidTr="0033067C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E07C58">
              <w:rPr>
                <w:rFonts w:ascii="仿宋_GB2312" w:eastAsia="仿宋_GB2312" w:hAnsi="Times New Roman" w:hint="eastAsia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 w:rsidR="00662E37" w:rsidRPr="00E07C58" w:rsidTr="0033067C">
        <w:tc>
          <w:tcPr>
            <w:tcW w:w="1809" w:type="dxa"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r w:rsidRPr="00E07C58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662E37" w:rsidRPr="00E07C58" w:rsidRDefault="00662E37" w:rsidP="00FD3CBA">
            <w:pPr>
              <w:rPr>
                <w:rFonts w:ascii="Times New Roman" w:eastAsia="仿宋" w:hAnsi="Times New Roman"/>
                <w:sz w:val="24"/>
                <w:szCs w:val="24"/>
              </w:rPr>
            </w:pPr>
          </w:p>
        </w:tc>
      </w:tr>
    </w:tbl>
    <w:p w:rsidR="00662E37" w:rsidRPr="00E07C58" w:rsidRDefault="00662E37" w:rsidP="00662E3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662E37" w:rsidRPr="00E07C58" w:rsidRDefault="00662E37" w:rsidP="00662E3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 w:rsidRPr="00E07C58">
        <w:rPr>
          <w:rFonts w:ascii="楷体_GB2312" w:eastAsia="楷体_GB2312" w:hAnsi="宋体" w:hint="eastAsia"/>
          <w:sz w:val="24"/>
          <w:szCs w:val="24"/>
        </w:rPr>
        <w:t>注解：</w:t>
      </w:r>
    </w:p>
    <w:p w:rsidR="00662E37" w:rsidRPr="00E07C58" w:rsidRDefault="00662E37" w:rsidP="008203B0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  <w:szCs w:val="24"/>
        </w:rPr>
      </w:pPr>
      <w:r w:rsidRPr="00E07C58"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662E37" w:rsidRPr="00E07C58" w:rsidRDefault="00662E37" w:rsidP="008203B0">
      <w:pPr>
        <w:spacing w:line="360" w:lineRule="auto"/>
        <w:ind w:firstLineChars="200" w:firstLine="480"/>
        <w:rPr>
          <w:rFonts w:ascii="楷体_GB2312" w:eastAsia="楷体_GB2312" w:hAnsi="宋体"/>
          <w:sz w:val="24"/>
          <w:szCs w:val="24"/>
        </w:rPr>
      </w:pPr>
      <w:r w:rsidRPr="00E07C58">
        <w:rPr>
          <w:rFonts w:ascii="楷体_GB2312" w:eastAsia="楷体_GB2312" w:hAnsi="宋体" w:hint="eastAsia"/>
          <w:sz w:val="24"/>
          <w:szCs w:val="24"/>
        </w:rPr>
        <w:t>2、申报方申请简易案件的理由是基于第4项、第5项时，无须在备注中说明相关市场和市场份额。</w:t>
      </w:r>
    </w:p>
    <w:p w:rsidR="00662E37" w:rsidRPr="00E07C58" w:rsidRDefault="00662E37" w:rsidP="008203B0">
      <w:pPr>
        <w:spacing w:line="360" w:lineRule="auto"/>
        <w:ind w:firstLineChars="200" w:firstLine="480"/>
      </w:pPr>
      <w:r w:rsidRPr="00E07C58">
        <w:rPr>
          <w:rFonts w:ascii="楷体_GB2312" w:eastAsia="楷体_GB2312" w:hAnsi="宋体" w:hint="eastAsia"/>
          <w:sz w:val="24"/>
          <w:szCs w:val="24"/>
        </w:rPr>
        <w:t>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 w:rsidR="00662E37" w:rsidRPr="00E07C58" w:rsidSect="00662E37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1CD6" w:rsidRDefault="006E1CD6" w:rsidP="00662E37">
      <w:r>
        <w:separator/>
      </w:r>
    </w:p>
  </w:endnote>
  <w:endnote w:type="continuationSeparator" w:id="0">
    <w:p w:rsidR="006E1CD6" w:rsidRDefault="006E1CD6" w:rsidP="00662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2E37" w:rsidRDefault="00662E37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64C64">
      <w:rPr>
        <w:noProof/>
      </w:rPr>
      <w:t>1</w:t>
    </w:r>
    <w:r>
      <w:rPr>
        <w:noProof/>
      </w:rPr>
      <w:fldChar w:fldCharType="end"/>
    </w:r>
  </w:p>
  <w:p w:rsidR="00662E37" w:rsidRDefault="00662E37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1CD6" w:rsidRDefault="006E1CD6" w:rsidP="00662E37">
      <w:r>
        <w:separator/>
      </w:r>
    </w:p>
  </w:footnote>
  <w:footnote w:type="continuationSeparator" w:id="0">
    <w:p w:rsidR="006E1CD6" w:rsidRDefault="006E1CD6" w:rsidP="00662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A23F68"/>
    <w:multiLevelType w:val="hybridMultilevel"/>
    <w:tmpl w:val="75EAF49E"/>
    <w:lvl w:ilvl="0" w:tplc="CA2C8AB6">
      <w:start w:val="1"/>
      <w:numFmt w:val="decimal"/>
      <w:lvlText w:val="%1."/>
      <w:lvlJc w:val="left"/>
      <w:pPr>
        <w:ind w:left="420" w:hanging="420"/>
      </w:pPr>
    </w:lvl>
    <w:lvl w:ilvl="1" w:tplc="0DEEC412" w:tentative="1">
      <w:start w:val="1"/>
      <w:numFmt w:val="lowerLetter"/>
      <w:lvlText w:val="%2)"/>
      <w:lvlJc w:val="left"/>
      <w:pPr>
        <w:ind w:left="840" w:hanging="420"/>
      </w:pPr>
    </w:lvl>
    <w:lvl w:ilvl="2" w:tplc="7E6A2D14" w:tentative="1">
      <w:start w:val="1"/>
      <w:numFmt w:val="lowerRoman"/>
      <w:lvlText w:val="%3."/>
      <w:lvlJc w:val="right"/>
      <w:pPr>
        <w:ind w:left="1260" w:hanging="420"/>
      </w:pPr>
    </w:lvl>
    <w:lvl w:ilvl="3" w:tplc="AC608B2C" w:tentative="1">
      <w:start w:val="1"/>
      <w:numFmt w:val="decimal"/>
      <w:lvlText w:val="%4."/>
      <w:lvlJc w:val="left"/>
      <w:pPr>
        <w:ind w:left="1680" w:hanging="420"/>
      </w:pPr>
    </w:lvl>
    <w:lvl w:ilvl="4" w:tplc="C286426E" w:tentative="1">
      <w:start w:val="1"/>
      <w:numFmt w:val="lowerLetter"/>
      <w:lvlText w:val="%5)"/>
      <w:lvlJc w:val="left"/>
      <w:pPr>
        <w:ind w:left="2100" w:hanging="420"/>
      </w:pPr>
    </w:lvl>
    <w:lvl w:ilvl="5" w:tplc="D264F4B4" w:tentative="1">
      <w:start w:val="1"/>
      <w:numFmt w:val="lowerRoman"/>
      <w:lvlText w:val="%6."/>
      <w:lvlJc w:val="right"/>
      <w:pPr>
        <w:ind w:left="2520" w:hanging="420"/>
      </w:pPr>
    </w:lvl>
    <w:lvl w:ilvl="6" w:tplc="5D84F202" w:tentative="1">
      <w:start w:val="1"/>
      <w:numFmt w:val="decimal"/>
      <w:lvlText w:val="%7."/>
      <w:lvlJc w:val="left"/>
      <w:pPr>
        <w:ind w:left="2940" w:hanging="420"/>
      </w:pPr>
    </w:lvl>
    <w:lvl w:ilvl="7" w:tplc="FBB02EAA" w:tentative="1">
      <w:start w:val="1"/>
      <w:numFmt w:val="lowerLetter"/>
      <w:lvlText w:val="%8)"/>
      <w:lvlJc w:val="left"/>
      <w:pPr>
        <w:ind w:left="3360" w:hanging="420"/>
      </w:pPr>
    </w:lvl>
    <w:lvl w:ilvl="8" w:tplc="A426B5D6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94095"/>
    <w:rsid w:val="00044429"/>
    <w:rsid w:val="00094095"/>
    <w:rsid w:val="000A0777"/>
    <w:rsid w:val="000E0EF9"/>
    <w:rsid w:val="00140A79"/>
    <w:rsid w:val="00241EB1"/>
    <w:rsid w:val="0033067C"/>
    <w:rsid w:val="00367883"/>
    <w:rsid w:val="005973E2"/>
    <w:rsid w:val="00662E37"/>
    <w:rsid w:val="006E1CD6"/>
    <w:rsid w:val="008203B0"/>
    <w:rsid w:val="00820C09"/>
    <w:rsid w:val="008F38EE"/>
    <w:rsid w:val="00A265D0"/>
    <w:rsid w:val="00B94108"/>
    <w:rsid w:val="00BB29AC"/>
    <w:rsid w:val="00CC4964"/>
    <w:rsid w:val="00D824D3"/>
    <w:rsid w:val="00E07C58"/>
    <w:rsid w:val="00E64C64"/>
    <w:rsid w:val="00EA2AD0"/>
    <w:rsid w:val="00F14E32"/>
    <w:rsid w:val="00FD3C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customStyle="1" w:styleId="AODocTxt">
    <w:name w:val="AODocTxt"/>
    <w:basedOn w:val="a"/>
    <w:rsid w:val="00230508"/>
    <w:pPr>
      <w:widowControl/>
      <w:spacing w:before="240" w:line="260" w:lineRule="atLeast"/>
    </w:pPr>
    <w:rPr>
      <w:rFonts w:ascii="Times New Roman" w:hAnsi="Times New Roman"/>
      <w:kern w:val="0"/>
      <w:sz w:val="22"/>
      <w:lang w:val="en-GB" w:eastAsia="en-US"/>
    </w:rPr>
  </w:style>
  <w:style w:type="paragraph" w:styleId="a8">
    <w:name w:val="Balloon Text"/>
    <w:basedOn w:val="a"/>
    <w:link w:val="Char2"/>
    <w:uiPriority w:val="99"/>
    <w:semiHidden/>
    <w:unhideWhenUsed/>
    <w:rsid w:val="00367883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367883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F3603E-FEBF-4A13-9699-0C5945F58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Allen &amp; Overy LLP</Company>
  <LinksUpToDate>false</LinksUpToDate>
  <CharactersWithSpaces>1471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Gaopeng</dc:creator>
  <cp:keywords/>
  <cp:lastModifiedBy>Gaopeng</cp:lastModifiedBy>
  <cp:revision>3</cp:revision>
  <cp:lastPrinted>1900-12-31T16:00:00Z</cp:lastPrinted>
  <dcterms:created xsi:type="dcterms:W3CDTF">2018-05-13T06:21:00Z</dcterms:created>
  <dcterms:modified xsi:type="dcterms:W3CDTF">2018-08-23T02:14:00Z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0107429</vt:lpwstr>
  </property>
  <property fmtid="{D5CDD505-2E9C-101B-9397-08002B2CF9AE}" pid="3" name="cpClientMatter">
    <vt:lpwstr>0107429-0000062</vt:lpwstr>
  </property>
  <property fmtid="{D5CDD505-2E9C-101B-9397-08002B2CF9AE}" pid="4" name="cpCombinedRef">
    <vt:lpwstr>0107429-0000062 BJ:2898342.1</vt:lpwstr>
  </property>
  <property fmtid="{D5CDD505-2E9C-101B-9397-08002B2CF9AE}" pid="5" name="cpDocRef">
    <vt:lpwstr>BJ:2898342.1</vt:lpwstr>
  </property>
  <property fmtid="{D5CDD505-2E9C-101B-9397-08002B2CF9AE}" pid="6" name="Matter">
    <vt:lpwstr>0000062</vt:lpwstr>
  </property>
</Properties>
</file>