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5DB" w:rsidRDefault="00B925DB">
      <w:pPr>
        <w:spacing w:line="440" w:lineRule="exact"/>
        <w:jc w:val="center"/>
        <w:rPr>
          <w:rFonts w:ascii="宋体" w:cs="Times New Roman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经营者集中简易案件公示表</w:t>
      </w:r>
    </w:p>
    <w:p w:rsidR="00B925DB" w:rsidRDefault="00B925DB">
      <w:pPr>
        <w:spacing w:line="440" w:lineRule="exact"/>
        <w:rPr>
          <w:rFonts w:ascii="宋体" w:cs="Times New Roman"/>
          <w:sz w:val="24"/>
          <w:szCs w:val="24"/>
        </w:rPr>
      </w:pPr>
    </w:p>
    <w:tbl>
      <w:tblPr>
        <w:tblW w:w="875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1809"/>
        <w:gridCol w:w="1796"/>
        <w:gridCol w:w="5153"/>
      </w:tblGrid>
      <w:tr w:rsidR="00B925DB">
        <w:tc>
          <w:tcPr>
            <w:tcW w:w="1809" w:type="dxa"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B925DB" w:rsidRDefault="00B925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kern w:val="0"/>
                <w:sz w:val="24"/>
                <w:szCs w:val="24"/>
                <w:lang w:val="en-GB"/>
              </w:rPr>
              <w:t>南京满源科技有限公司收购圣戈班（徐州）管道有限公司等两家公司股权案</w:t>
            </w:r>
          </w:p>
        </w:tc>
      </w:tr>
      <w:tr w:rsidR="00B925DB">
        <w:trPr>
          <w:trHeight w:val="993"/>
        </w:trPr>
        <w:tc>
          <w:tcPr>
            <w:tcW w:w="1809" w:type="dxa"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交易概况（限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B925DB" w:rsidRDefault="00B925DB">
            <w:pPr>
              <w:widowControl/>
              <w:snapToGrid w:val="0"/>
              <w:spacing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本交易涉及</w:t>
            </w:r>
            <w:r>
              <w:rPr>
                <w:rFonts w:ascii="Times New Roman" w:hAnsi="Times New Roman" w:cs="宋体" w:hint="eastAsia"/>
                <w:color w:val="000000"/>
                <w:kern w:val="0"/>
                <w:sz w:val="24"/>
                <w:szCs w:val="24"/>
                <w:lang w:val="en-GB"/>
              </w:rPr>
              <w:t>南京满源科技有限公司（“</w:t>
            </w:r>
            <w:r>
              <w:rPr>
                <w:rFonts w:ascii="Times New Roman" w:hAnsi="Times New Roman" w:cs="宋体" w:hint="eastAsia"/>
                <w:b/>
                <w:bCs/>
                <w:color w:val="000000"/>
                <w:sz w:val="24"/>
                <w:szCs w:val="24"/>
              </w:rPr>
              <w:t>南京满源</w:t>
            </w:r>
            <w:r>
              <w:rPr>
                <w:rFonts w:ascii="Times New Roman" w:hAnsi="Times New Roman" w:cs="宋体" w:hint="eastAsia"/>
                <w:color w:val="000000"/>
                <w:kern w:val="0"/>
                <w:sz w:val="24"/>
                <w:szCs w:val="24"/>
                <w:lang w:val="en-GB"/>
              </w:rPr>
              <w:t>”）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收购圣戈班（徐州）管道有限公司（</w:t>
            </w:r>
            <w:r>
              <w:rPr>
                <w:rFonts w:ascii="Times New Roman" w:hAnsi="Times New Roman" w:cs="宋体" w:hint="eastAsia"/>
                <w:b/>
                <w:bCs/>
                <w:color w:val="000000"/>
                <w:sz w:val="24"/>
                <w:szCs w:val="24"/>
              </w:rPr>
              <w:t>“徐州管道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”）和圣戈班（徐州）铸管有限公司（“</w:t>
            </w:r>
            <w:r>
              <w:rPr>
                <w:rFonts w:ascii="Times New Roman" w:hAnsi="Times New Roman" w:cs="宋体" w:hint="eastAsia"/>
                <w:b/>
                <w:bCs/>
                <w:color w:val="000000"/>
                <w:sz w:val="24"/>
                <w:szCs w:val="24"/>
              </w:rPr>
              <w:t>徐州铸管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”）</w:t>
            </w:r>
            <w:r>
              <w:rPr>
                <w:rFonts w:ascii="Times New Roman" w:hAnsi="Times New Roman" w:cs="宋体" w:hint="eastAsia"/>
                <w:color w:val="000000"/>
                <w:kern w:val="0"/>
                <w:sz w:val="24"/>
                <w:szCs w:val="24"/>
                <w:lang w:val="en-GB"/>
              </w:rPr>
              <w:t>的全部股权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。</w:t>
            </w:r>
          </w:p>
          <w:p w:rsidR="00B925DB" w:rsidRDefault="00B925DB">
            <w:pPr>
              <w:widowControl/>
              <w:snapToGrid w:val="0"/>
              <w:spacing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交易完成后，徐州管道和徐州铸管将成为南京满源的全资子公司。</w:t>
            </w:r>
          </w:p>
        </w:tc>
      </w:tr>
      <w:tr w:rsidR="00B925D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B925DB" w:rsidRDefault="00B925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、南京满源</w:t>
            </w:r>
          </w:p>
        </w:tc>
        <w:tc>
          <w:tcPr>
            <w:tcW w:w="5153" w:type="dxa"/>
          </w:tcPr>
          <w:p w:rsidR="00B925DB" w:rsidRDefault="00B925DB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南京满源成立于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2013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年，其业务范围包括：计算机软硬件研发、技术咨询、技术服务、技术转让；房屋租赁；仓储服务（不含危险品）。</w:t>
            </w:r>
          </w:p>
          <w:p w:rsidR="00B925DB" w:rsidRDefault="00B925DB">
            <w:pPr>
              <w:widowControl/>
              <w:snapToGri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925DB">
        <w:trPr>
          <w:trHeight w:val="1329"/>
        </w:trPr>
        <w:tc>
          <w:tcPr>
            <w:tcW w:w="1809" w:type="dxa"/>
            <w:vMerge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96" w:type="dxa"/>
          </w:tcPr>
          <w:p w:rsidR="00B925DB" w:rsidRDefault="00B925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、</w:t>
            </w:r>
            <w:r>
              <w:rPr>
                <w:rFonts w:ascii="Times New Roman" w:hAnsi="Times New Roman" w:cs="宋体" w:hint="eastAsia"/>
                <w:color w:val="000000"/>
                <w:kern w:val="0"/>
                <w:sz w:val="24"/>
                <w:szCs w:val="24"/>
                <w:lang w:val="en-GB"/>
              </w:rPr>
              <w:t>徐州管道</w:t>
            </w:r>
          </w:p>
          <w:p w:rsidR="00B925DB" w:rsidRDefault="00B925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53" w:type="dxa"/>
          </w:tcPr>
          <w:p w:rsidR="00B925DB" w:rsidRDefault="00B925DB" w:rsidP="001527D5">
            <w:pPr>
              <w:numPr>
                <w:ilvl w:val="255"/>
                <w:numId w:val="0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徐州管道成立于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1986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年，公司经批准的经营</w:t>
            </w:r>
            <w:r w:rsidRPr="009F48FC"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业务包括：铸铁管、铸铁件、铸铁、焦碳及烧结、球团、水渣等副产品的生产；进口与生产有关的材料、设备和技术（分销除外）；供热等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。批发进口铁矿砂及其精矿，包括焙烧黄铁矿（仅限向法国圣戈班集团在中国投资的其他管道生产公司销售）（见营业执照）</w:t>
            </w:r>
            <w:r w:rsidRPr="009F48FC"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B925DB">
        <w:trPr>
          <w:trHeight w:val="90"/>
        </w:trPr>
        <w:tc>
          <w:tcPr>
            <w:tcW w:w="1809" w:type="dxa"/>
            <w:vMerge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96" w:type="dxa"/>
          </w:tcPr>
          <w:p w:rsidR="00B925DB" w:rsidRDefault="00B925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、徐州铸管</w:t>
            </w:r>
          </w:p>
        </w:tc>
        <w:tc>
          <w:tcPr>
            <w:tcW w:w="5153" w:type="dxa"/>
          </w:tcPr>
          <w:p w:rsidR="00B925DB" w:rsidRDefault="00B925DB">
            <w:pPr>
              <w:numPr>
                <w:ilvl w:val="255"/>
                <w:numId w:val="0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徐州铸管成立于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2003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年，公司的经批准的经营业务包括：生产球墨铸铁管和相关配件；生产经营所需辅料的进出口；销售球墨铸铁管及与其配套的关键、阀门和配件（见营业执照）。</w:t>
            </w:r>
          </w:p>
        </w:tc>
      </w:tr>
      <w:tr w:rsidR="00B925D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15%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B925D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B925D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B925D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925D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925D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925DB">
        <w:tc>
          <w:tcPr>
            <w:tcW w:w="1809" w:type="dxa"/>
            <w:shd w:val="clear" w:color="auto" w:fill="D9D9D9"/>
          </w:tcPr>
          <w:p w:rsidR="00B925DB" w:rsidRDefault="00B925DB">
            <w:pPr>
              <w:spacing w:line="50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B925DB" w:rsidRDefault="00B925DB">
            <w:pPr>
              <w:snapToGri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相关产品市场：球墨铸铁管</w:t>
            </w:r>
          </w:p>
          <w:p w:rsidR="00B925DB" w:rsidRDefault="00B925DB">
            <w:pPr>
              <w:snapToGri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相关地域市场：中国</w:t>
            </w:r>
          </w:p>
          <w:p w:rsidR="00B925DB" w:rsidRDefault="00B925DB">
            <w:pPr>
              <w:snapToGri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市场份额：徐州管道与徐州铸管【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15%-20%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】（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2017</w:t>
            </w:r>
            <w:r>
              <w:rPr>
                <w:rFonts w:ascii="Times New Roman" w:hAnsi="Times New Roman" w:cs="宋体" w:hint="eastAsia"/>
                <w:color w:val="000000"/>
                <w:sz w:val="24"/>
                <w:szCs w:val="24"/>
              </w:rPr>
              <w:t>年）</w:t>
            </w:r>
          </w:p>
          <w:p w:rsidR="00B925DB" w:rsidRDefault="00B925DB">
            <w:pPr>
              <w:snapToGri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B925DB" w:rsidRDefault="00B925DB">
      <w:pPr>
        <w:snapToGrid w:val="0"/>
        <w:spacing w:line="240" w:lineRule="exact"/>
        <w:jc w:val="left"/>
        <w:rPr>
          <w:rFonts w:ascii="宋体" w:cs="Times New Roman"/>
          <w:sz w:val="24"/>
          <w:szCs w:val="24"/>
        </w:rPr>
      </w:pPr>
    </w:p>
    <w:p w:rsidR="00B925DB" w:rsidRDefault="00B925DB">
      <w:pPr>
        <w:snapToGrid w:val="0"/>
        <w:spacing w:line="240" w:lineRule="exact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注解：</w:t>
      </w:r>
    </w:p>
    <w:p w:rsidR="00B925DB" w:rsidRDefault="00B925DB" w:rsidP="006F7CDB">
      <w:pPr>
        <w:snapToGrid w:val="0"/>
        <w:spacing w:line="360" w:lineRule="auto"/>
        <w:ind w:firstLineChars="200" w:firstLine="3168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、申报方申请简易案件的理由是基于</w:t>
      </w:r>
      <w:r>
        <w:rPr>
          <w:rFonts w:ascii="宋体" w:hAnsi="宋体" w:cs="宋体"/>
          <w:sz w:val="24"/>
          <w:szCs w:val="24"/>
        </w:rPr>
        <w:t>1-3</w:t>
      </w:r>
      <w:r>
        <w:rPr>
          <w:rFonts w:ascii="宋体" w:hAnsi="宋体" w:cs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宋体" w:hAnsi="宋体" w:cs="宋体"/>
          <w:sz w:val="24"/>
          <w:szCs w:val="24"/>
        </w:rPr>
        <w:t>5%</w:t>
      </w:r>
      <w:r>
        <w:rPr>
          <w:rFonts w:ascii="宋体" w:hAnsi="宋体" w:cs="宋体" w:hint="eastAsia"/>
          <w:sz w:val="24"/>
          <w:szCs w:val="24"/>
        </w:rPr>
        <w:t>。</w:t>
      </w:r>
      <w:r>
        <w:rPr>
          <w:rFonts w:ascii="宋体" w:hAnsi="宋体" w:cs="宋体"/>
          <w:sz w:val="24"/>
          <w:szCs w:val="24"/>
        </w:rPr>
        <w:t>1-3</w:t>
      </w:r>
      <w:r>
        <w:rPr>
          <w:rFonts w:ascii="宋体" w:hAnsi="宋体" w:cs="宋体" w:hint="eastAsia"/>
          <w:sz w:val="24"/>
          <w:szCs w:val="24"/>
        </w:rPr>
        <w:t>项可以多选，也可单选；没有勾选的，视为本集中不涉及该类型交易。</w:t>
      </w:r>
    </w:p>
    <w:p w:rsidR="00B925DB" w:rsidRDefault="00B925DB" w:rsidP="006F7CDB">
      <w:pPr>
        <w:spacing w:line="360" w:lineRule="auto"/>
        <w:ind w:firstLineChars="200" w:firstLine="3168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、申报方申请简易案件的理由是基于第</w:t>
      </w:r>
      <w:r>
        <w:rPr>
          <w:rFonts w:ascii="宋体" w:hAnsi="宋体" w:cs="宋体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项、第</w:t>
      </w:r>
      <w:r>
        <w:rPr>
          <w:rFonts w:ascii="宋体" w:hAnsi="宋体" w:cs="宋体"/>
          <w:sz w:val="24"/>
          <w:szCs w:val="24"/>
        </w:rPr>
        <w:t>5</w:t>
      </w:r>
      <w:r>
        <w:rPr>
          <w:rFonts w:ascii="宋体" w:hAnsi="宋体" w:cs="宋体" w:hint="eastAsia"/>
          <w:sz w:val="24"/>
          <w:szCs w:val="24"/>
        </w:rPr>
        <w:t>项时，无须在备注中说明相关市场和市场份额。</w:t>
      </w:r>
      <w:r>
        <w:rPr>
          <w:rFonts w:ascii="宋体" w:cs="Times New Roman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 xml:space="preserve">    3</w:t>
      </w:r>
      <w:r>
        <w:rPr>
          <w:rFonts w:ascii="宋体" w:hAnsi="宋体" w:cs="宋体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项和第</w:t>
      </w:r>
      <w:r>
        <w:rPr>
          <w:rFonts w:ascii="宋体" w:hAnsi="宋体" w:cs="宋体"/>
          <w:sz w:val="24"/>
          <w:szCs w:val="24"/>
        </w:rPr>
        <w:t>6</w:t>
      </w:r>
      <w:r>
        <w:rPr>
          <w:rFonts w:ascii="宋体" w:hAnsi="宋体" w:cs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宋体" w:hAnsi="宋体" w:cs="宋体"/>
          <w:sz w:val="24"/>
          <w:szCs w:val="24"/>
        </w:rPr>
        <w:t>5%</w:t>
      </w:r>
      <w:r>
        <w:rPr>
          <w:rFonts w:ascii="宋体" w:hAnsi="宋体" w:cs="宋体" w:hint="eastAsia"/>
          <w:sz w:val="24"/>
          <w:szCs w:val="24"/>
        </w:rPr>
        <w:t>。</w:t>
      </w:r>
    </w:p>
    <w:p w:rsidR="00B925DB" w:rsidRDefault="00B925DB">
      <w:pPr>
        <w:rPr>
          <w:rFonts w:ascii="宋体" w:cs="Times New Roman"/>
          <w:sz w:val="24"/>
          <w:szCs w:val="24"/>
        </w:rPr>
      </w:pPr>
    </w:p>
    <w:sectPr w:rsidR="00B925DB" w:rsidSect="008C19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25DB" w:rsidRDefault="00B925DB" w:rsidP="00A91371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1">
    <w:p w:rsidR="00B925DB" w:rsidRDefault="00B925DB" w:rsidP="00A91371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25DB" w:rsidRDefault="00B925DB" w:rsidP="00A91371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1">
    <w:p w:rsidR="00B925DB" w:rsidRDefault="00B925DB" w:rsidP="00A91371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trackRevision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94095"/>
    <w:rsid w:val="000020C3"/>
    <w:rsid w:val="000134E8"/>
    <w:rsid w:val="000677EF"/>
    <w:rsid w:val="00083418"/>
    <w:rsid w:val="00094095"/>
    <w:rsid w:val="000A14BB"/>
    <w:rsid w:val="000D5955"/>
    <w:rsid w:val="000F04BF"/>
    <w:rsid w:val="001527D5"/>
    <w:rsid w:val="00164331"/>
    <w:rsid w:val="001E0AA5"/>
    <w:rsid w:val="001F1173"/>
    <w:rsid w:val="002023BE"/>
    <w:rsid w:val="00202BEC"/>
    <w:rsid w:val="00210DCE"/>
    <w:rsid w:val="002366BB"/>
    <w:rsid w:val="002454B9"/>
    <w:rsid w:val="00245776"/>
    <w:rsid w:val="00257E63"/>
    <w:rsid w:val="00270CCF"/>
    <w:rsid w:val="00277C80"/>
    <w:rsid w:val="0029549A"/>
    <w:rsid w:val="002A3524"/>
    <w:rsid w:val="002C5185"/>
    <w:rsid w:val="002D5426"/>
    <w:rsid w:val="002F2D60"/>
    <w:rsid w:val="002F7881"/>
    <w:rsid w:val="0030034E"/>
    <w:rsid w:val="00307976"/>
    <w:rsid w:val="00325159"/>
    <w:rsid w:val="0033679C"/>
    <w:rsid w:val="00352484"/>
    <w:rsid w:val="003623D7"/>
    <w:rsid w:val="0036298A"/>
    <w:rsid w:val="00363646"/>
    <w:rsid w:val="003A09C9"/>
    <w:rsid w:val="003B757D"/>
    <w:rsid w:val="003F431C"/>
    <w:rsid w:val="00416511"/>
    <w:rsid w:val="004373A2"/>
    <w:rsid w:val="00462174"/>
    <w:rsid w:val="004671F7"/>
    <w:rsid w:val="00486565"/>
    <w:rsid w:val="004C1240"/>
    <w:rsid w:val="004D4A3D"/>
    <w:rsid w:val="004F30A7"/>
    <w:rsid w:val="00504C35"/>
    <w:rsid w:val="005050E9"/>
    <w:rsid w:val="00566644"/>
    <w:rsid w:val="00587E97"/>
    <w:rsid w:val="0059628C"/>
    <w:rsid w:val="00596BF5"/>
    <w:rsid w:val="005F167B"/>
    <w:rsid w:val="00602662"/>
    <w:rsid w:val="00607029"/>
    <w:rsid w:val="006412A3"/>
    <w:rsid w:val="00667CD3"/>
    <w:rsid w:val="0069442D"/>
    <w:rsid w:val="00697638"/>
    <w:rsid w:val="006C3F7A"/>
    <w:rsid w:val="006F7CDB"/>
    <w:rsid w:val="00727977"/>
    <w:rsid w:val="00757B15"/>
    <w:rsid w:val="00797121"/>
    <w:rsid w:val="007A01C4"/>
    <w:rsid w:val="007B30A5"/>
    <w:rsid w:val="007B7F94"/>
    <w:rsid w:val="007D16CA"/>
    <w:rsid w:val="007D4F8A"/>
    <w:rsid w:val="007E6165"/>
    <w:rsid w:val="008208A0"/>
    <w:rsid w:val="00821298"/>
    <w:rsid w:val="00857500"/>
    <w:rsid w:val="00872F4D"/>
    <w:rsid w:val="00890605"/>
    <w:rsid w:val="008C19E6"/>
    <w:rsid w:val="008E3473"/>
    <w:rsid w:val="00911375"/>
    <w:rsid w:val="009115AA"/>
    <w:rsid w:val="00911606"/>
    <w:rsid w:val="00920BEB"/>
    <w:rsid w:val="00956308"/>
    <w:rsid w:val="00976846"/>
    <w:rsid w:val="00992D10"/>
    <w:rsid w:val="009A0DA1"/>
    <w:rsid w:val="009F48FC"/>
    <w:rsid w:val="00A01314"/>
    <w:rsid w:val="00A03B6C"/>
    <w:rsid w:val="00A23C5C"/>
    <w:rsid w:val="00A46243"/>
    <w:rsid w:val="00A71F19"/>
    <w:rsid w:val="00A80785"/>
    <w:rsid w:val="00A81165"/>
    <w:rsid w:val="00A81366"/>
    <w:rsid w:val="00A877D1"/>
    <w:rsid w:val="00A91371"/>
    <w:rsid w:val="00AB1AE7"/>
    <w:rsid w:val="00AB4321"/>
    <w:rsid w:val="00AB6C08"/>
    <w:rsid w:val="00AC7639"/>
    <w:rsid w:val="00AD6C59"/>
    <w:rsid w:val="00B01ECC"/>
    <w:rsid w:val="00B05C0C"/>
    <w:rsid w:val="00B16CB6"/>
    <w:rsid w:val="00B56541"/>
    <w:rsid w:val="00B900D5"/>
    <w:rsid w:val="00B9091E"/>
    <w:rsid w:val="00B925DB"/>
    <w:rsid w:val="00B955F5"/>
    <w:rsid w:val="00BA0750"/>
    <w:rsid w:val="00BB2377"/>
    <w:rsid w:val="00BB494A"/>
    <w:rsid w:val="00C04FCA"/>
    <w:rsid w:val="00C1533C"/>
    <w:rsid w:val="00C66FFC"/>
    <w:rsid w:val="00C70A8F"/>
    <w:rsid w:val="00C9068E"/>
    <w:rsid w:val="00CA0123"/>
    <w:rsid w:val="00CA119A"/>
    <w:rsid w:val="00D21777"/>
    <w:rsid w:val="00D71002"/>
    <w:rsid w:val="00D721DF"/>
    <w:rsid w:val="00DA4434"/>
    <w:rsid w:val="00DC3C79"/>
    <w:rsid w:val="00DD1A4F"/>
    <w:rsid w:val="00E13A56"/>
    <w:rsid w:val="00E2593A"/>
    <w:rsid w:val="00E409F4"/>
    <w:rsid w:val="00E677B7"/>
    <w:rsid w:val="00E83371"/>
    <w:rsid w:val="00ED21B1"/>
    <w:rsid w:val="00ED2EDC"/>
    <w:rsid w:val="00F12226"/>
    <w:rsid w:val="00F676FD"/>
    <w:rsid w:val="00F71C4A"/>
    <w:rsid w:val="00F87C1F"/>
    <w:rsid w:val="00FA6C01"/>
    <w:rsid w:val="00FC0FB5"/>
    <w:rsid w:val="00FC68CA"/>
    <w:rsid w:val="00FD5FC9"/>
    <w:rsid w:val="00FD7598"/>
    <w:rsid w:val="037F343B"/>
    <w:rsid w:val="03A24881"/>
    <w:rsid w:val="03C7485A"/>
    <w:rsid w:val="0868745C"/>
    <w:rsid w:val="098A4D9D"/>
    <w:rsid w:val="09E06F63"/>
    <w:rsid w:val="10D843E8"/>
    <w:rsid w:val="12FE7AE9"/>
    <w:rsid w:val="163541CE"/>
    <w:rsid w:val="16C971B1"/>
    <w:rsid w:val="1A11362F"/>
    <w:rsid w:val="1C410B31"/>
    <w:rsid w:val="1CCF53FC"/>
    <w:rsid w:val="1E3B2980"/>
    <w:rsid w:val="22B31228"/>
    <w:rsid w:val="25A004CD"/>
    <w:rsid w:val="284569B8"/>
    <w:rsid w:val="2B486108"/>
    <w:rsid w:val="2CFA36CC"/>
    <w:rsid w:val="2E0D4B2D"/>
    <w:rsid w:val="2EC6246F"/>
    <w:rsid w:val="3A591DD2"/>
    <w:rsid w:val="3B5532AC"/>
    <w:rsid w:val="3CF53A56"/>
    <w:rsid w:val="3ECD14DA"/>
    <w:rsid w:val="3F307C4F"/>
    <w:rsid w:val="42F2573A"/>
    <w:rsid w:val="4D9A099A"/>
    <w:rsid w:val="51E254A6"/>
    <w:rsid w:val="555C2B5C"/>
    <w:rsid w:val="60187A27"/>
    <w:rsid w:val="60C344AA"/>
    <w:rsid w:val="6470528B"/>
    <w:rsid w:val="648210BE"/>
    <w:rsid w:val="67A65E62"/>
    <w:rsid w:val="686C44CD"/>
    <w:rsid w:val="69CC240B"/>
    <w:rsid w:val="6AD41083"/>
    <w:rsid w:val="74984449"/>
    <w:rsid w:val="757E31D5"/>
    <w:rsid w:val="789B02BE"/>
    <w:rsid w:val="7DAC21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8C19E6"/>
    <w:pPr>
      <w:widowControl w:val="0"/>
      <w:jc w:val="both"/>
    </w:pPr>
    <w:rPr>
      <w:rFonts w:ascii="Calibri" w:hAnsi="Calibri" w:cs="Calibri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rsid w:val="008C19E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8C19E6"/>
    <w:rPr>
      <w:kern w:val="2"/>
      <w:sz w:val="22"/>
      <w:szCs w:val="22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C19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8C19E6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rsid w:val="008C19E6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8C19E6"/>
  </w:style>
  <w:style w:type="paragraph" w:styleId="BalloonText">
    <w:name w:val="Balloon Text"/>
    <w:basedOn w:val="Normal"/>
    <w:link w:val="BalloonTextChar"/>
    <w:uiPriority w:val="99"/>
    <w:semiHidden/>
    <w:rsid w:val="008C19E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C19E6"/>
    <w:rPr>
      <w:kern w:val="2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rsid w:val="008C19E6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0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C19E6"/>
    <w:rPr>
      <w:sz w:val="18"/>
      <w:szCs w:val="18"/>
    </w:rPr>
  </w:style>
  <w:style w:type="paragraph" w:styleId="Header">
    <w:name w:val="header"/>
    <w:basedOn w:val="Normal"/>
    <w:link w:val="HeaderChar"/>
    <w:uiPriority w:val="99"/>
    <w:rsid w:val="008C19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0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8C19E6"/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8C19E6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Calibri" w:hAnsi="Calibri" w:cs="Calibri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rsid w:val="008C19E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8C19E6"/>
    <w:rPr>
      <w:sz w:val="21"/>
      <w:szCs w:val="21"/>
    </w:rPr>
  </w:style>
  <w:style w:type="character" w:styleId="FootnoteReference">
    <w:name w:val="footnote reference"/>
    <w:basedOn w:val="DefaultParagraphFont"/>
    <w:uiPriority w:val="99"/>
    <w:semiHidden/>
    <w:rsid w:val="008C19E6"/>
    <w:rPr>
      <w:vertAlign w:val="superscript"/>
    </w:rPr>
  </w:style>
  <w:style w:type="table" w:styleId="TableGrid">
    <w:name w:val="Table Grid"/>
    <w:basedOn w:val="TableNormal"/>
    <w:uiPriority w:val="99"/>
    <w:rsid w:val="008C19E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</TotalTime>
  <Pages>2</Pages>
  <Words>176</Words>
  <Characters>1008</Characters>
  <Application>Microsoft Office Outlook</Application>
  <DocSecurity>0</DocSecurity>
  <Lines>0</Lines>
  <Paragraphs>0</Paragraphs>
  <ScaleCrop>false</ScaleCrop>
  <Company>http://www.deepbbs.org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4</cp:revision>
  <cp:lastPrinted>2014-10-08T02:48:00Z</cp:lastPrinted>
  <dcterms:created xsi:type="dcterms:W3CDTF">2018-09-18T05:04:00Z</dcterms:created>
  <dcterms:modified xsi:type="dcterms:W3CDTF">2018-09-18T08:55:00Z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A36122288</vt:lpwstr>
  </property>
  <property fmtid="{D5CDD505-2E9C-101B-9397-08002B2CF9AE}" pid="3" name="Version">
    <vt:lpwstr>0.7</vt:lpwstr>
  </property>
  <property fmtid="{D5CDD505-2E9C-101B-9397-08002B2CF9AE}" pid="4" name="Last Modified">
    <vt:lpwstr>19 Mar 2018</vt:lpwstr>
  </property>
  <property fmtid="{D5CDD505-2E9C-101B-9397-08002B2CF9AE}" pid="5" name="Matter Number">
    <vt:lpwstr>L-269343</vt:lpwstr>
  </property>
  <property fmtid="{D5CDD505-2E9C-101B-9397-08002B2CF9AE}" pid="6" name="Client Code">
    <vt:lpwstr>10253201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C:\Users\aqlee\AppData\Local\Linklaters\DocExplorer\Attachments\180320_Ladder_Final Simple Case Publicity Form_CHN.docx</vt:lpwstr>
  </property>
  <property fmtid="{D5CDD505-2E9C-101B-9397-08002B2CF9AE}" pid="9" name="ObjectID">
    <vt:lpwstr>09001dc891a1b8db</vt:lpwstr>
  </property>
  <property fmtid="{D5CDD505-2E9C-101B-9397-08002B2CF9AE}" pid="10" name="KSOProductBuildVer">
    <vt:lpwstr>2052-10.1.0.7521</vt:lpwstr>
  </property>
</Properties>
</file>