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F9193" w14:textId="77777777" w:rsidR="003E476B" w:rsidRDefault="003E476B" w:rsidP="00CB00DF">
      <w:pPr>
        <w:spacing w:line="440" w:lineRule="exact"/>
        <w:jc w:val="center"/>
        <w:rPr>
          <w:rFonts w:ascii="Times New Roman" w:hAnsi="Times New Roman"/>
          <w:b/>
          <w:szCs w:val="21"/>
        </w:rPr>
      </w:pPr>
    </w:p>
    <w:p w14:paraId="26C08327"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42744556" w14:textId="77777777" w:rsidR="00CB00DF" w:rsidRDefault="00CB00DF" w:rsidP="00CB00DF">
      <w:pPr>
        <w:spacing w:line="440" w:lineRule="exact"/>
        <w:rPr>
          <w:rFonts w:ascii="黑体" w:eastAsia="黑体" w:hAnsi="Times New Roman"/>
          <w:sz w:val="28"/>
          <w:szCs w:val="28"/>
        </w:rPr>
      </w:pPr>
    </w:p>
    <w:p w14:paraId="0194C9BD"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371A89B7" w14:textId="77777777" w:rsidTr="00CB00DF">
        <w:tc>
          <w:tcPr>
            <w:tcW w:w="1809" w:type="dxa"/>
            <w:shd w:val="clear" w:color="auto" w:fill="D9D9D9"/>
            <w:vAlign w:val="center"/>
          </w:tcPr>
          <w:p w14:paraId="440C14C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1E86DEB5" w14:textId="77777777" w:rsidR="00CB00DF" w:rsidRPr="00CB00DF" w:rsidRDefault="00581746" w:rsidP="006908A4">
            <w:pPr>
              <w:spacing w:line="500" w:lineRule="exact"/>
              <w:rPr>
                <w:rFonts w:ascii="仿宋" w:eastAsia="仿宋" w:hAnsi="仿宋" w:cs="宋体"/>
                <w:color w:val="333333"/>
                <w:kern w:val="0"/>
                <w:sz w:val="24"/>
                <w:szCs w:val="24"/>
                <w:bdr w:val="none" w:sz="0" w:space="0" w:color="auto" w:frame="1"/>
              </w:rPr>
            </w:pPr>
            <w:r w:rsidRPr="00581746">
              <w:rPr>
                <w:rFonts w:ascii="仿宋" w:eastAsia="仿宋" w:hAnsi="仿宋" w:cs="宋体" w:hint="eastAsia"/>
                <w:color w:val="333333"/>
                <w:kern w:val="0"/>
                <w:sz w:val="24"/>
                <w:szCs w:val="24"/>
                <w:bdr w:val="none" w:sz="0" w:space="0" w:color="auto" w:frame="1"/>
              </w:rPr>
              <w:t>江苏省农垦农业发展股份有限公司收购金太阳粮油股份有限公司股权案</w:t>
            </w:r>
          </w:p>
        </w:tc>
      </w:tr>
      <w:tr w:rsidR="00CB00DF" w:rsidRPr="00CB00DF" w14:paraId="42D11A0C" w14:textId="77777777" w:rsidTr="00CB00DF">
        <w:trPr>
          <w:trHeight w:val="993"/>
        </w:trPr>
        <w:tc>
          <w:tcPr>
            <w:tcW w:w="1809" w:type="dxa"/>
            <w:shd w:val="clear" w:color="auto" w:fill="D9D9D9"/>
            <w:vAlign w:val="center"/>
          </w:tcPr>
          <w:p w14:paraId="102201A8"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03A64B2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1D9D9E5D" w14:textId="5D056E8A" w:rsidR="00CB00DF" w:rsidRPr="00CB00DF" w:rsidRDefault="00581746" w:rsidP="006908A4">
            <w:pPr>
              <w:spacing w:line="500" w:lineRule="exact"/>
              <w:rPr>
                <w:rFonts w:ascii="仿宋" w:eastAsia="仿宋" w:hAnsi="仿宋" w:cs="宋体"/>
                <w:color w:val="333333"/>
                <w:kern w:val="0"/>
                <w:sz w:val="24"/>
                <w:szCs w:val="24"/>
                <w:bdr w:val="none" w:sz="0" w:space="0" w:color="auto" w:frame="1"/>
              </w:rPr>
            </w:pPr>
            <w:r w:rsidRPr="00581746">
              <w:rPr>
                <w:rFonts w:ascii="仿宋" w:eastAsia="仿宋" w:hAnsi="仿宋" w:cs="宋体" w:hint="eastAsia"/>
                <w:color w:val="333333"/>
                <w:kern w:val="0"/>
                <w:sz w:val="24"/>
                <w:szCs w:val="24"/>
                <w:bdr w:val="none" w:sz="0" w:space="0" w:color="auto" w:frame="1"/>
              </w:rPr>
              <w:t>江苏省农垦农业发展股份有限公司</w:t>
            </w:r>
            <w:r>
              <w:rPr>
                <w:rFonts w:ascii="仿宋" w:eastAsia="仿宋" w:hAnsi="仿宋" w:cs="宋体" w:hint="eastAsia"/>
                <w:color w:val="333333"/>
                <w:kern w:val="0"/>
                <w:sz w:val="24"/>
                <w:szCs w:val="24"/>
                <w:bdr w:val="none" w:sz="0" w:space="0" w:color="auto" w:frame="1"/>
              </w:rPr>
              <w:t>（以下简称“苏垦农发”）拟现金方式收购</w:t>
            </w:r>
            <w:r w:rsidRPr="00581746">
              <w:rPr>
                <w:rFonts w:ascii="仿宋" w:eastAsia="仿宋" w:hAnsi="仿宋" w:cs="宋体" w:hint="eastAsia"/>
                <w:color w:val="333333"/>
                <w:kern w:val="0"/>
                <w:sz w:val="24"/>
                <w:szCs w:val="24"/>
                <w:bdr w:val="none" w:sz="0" w:space="0" w:color="auto" w:frame="1"/>
              </w:rPr>
              <w:t>金太阳粮油</w:t>
            </w:r>
            <w:bookmarkStart w:id="0" w:name="_GoBack"/>
            <w:bookmarkEnd w:id="0"/>
            <w:r w:rsidRPr="00581746">
              <w:rPr>
                <w:rFonts w:ascii="仿宋" w:eastAsia="仿宋" w:hAnsi="仿宋" w:cs="宋体" w:hint="eastAsia"/>
                <w:color w:val="333333"/>
                <w:kern w:val="0"/>
                <w:sz w:val="24"/>
                <w:szCs w:val="24"/>
                <w:bdr w:val="none" w:sz="0" w:space="0" w:color="auto" w:frame="1"/>
              </w:rPr>
              <w:t>股份有限公司</w:t>
            </w:r>
            <w:r>
              <w:rPr>
                <w:rFonts w:ascii="仿宋" w:eastAsia="仿宋" w:hAnsi="仿宋" w:cs="宋体" w:hint="eastAsia"/>
                <w:color w:val="333333"/>
                <w:kern w:val="0"/>
                <w:sz w:val="24"/>
                <w:szCs w:val="24"/>
                <w:bdr w:val="none" w:sz="0" w:space="0" w:color="auto" w:frame="1"/>
              </w:rPr>
              <w:t>（以下简称“太阳股份”）现有股东持有的太阳股份2,</w:t>
            </w:r>
            <w:r w:rsidR="00E92F6D">
              <w:rPr>
                <w:rFonts w:ascii="仿宋" w:eastAsia="仿宋" w:hAnsi="仿宋" w:cs="宋体"/>
                <w:color w:val="333333"/>
                <w:kern w:val="0"/>
                <w:sz w:val="24"/>
                <w:szCs w:val="24"/>
                <w:bdr w:val="none" w:sz="0" w:space="0" w:color="auto" w:frame="1"/>
              </w:rPr>
              <w:t>8</w:t>
            </w:r>
            <w:r w:rsidR="00E92F6D">
              <w:rPr>
                <w:rFonts w:ascii="仿宋" w:eastAsia="仿宋" w:hAnsi="仿宋" w:cs="宋体"/>
                <w:color w:val="333333"/>
                <w:kern w:val="0"/>
                <w:sz w:val="24"/>
                <w:szCs w:val="24"/>
                <w:bdr w:val="none" w:sz="0" w:space="0" w:color="auto" w:frame="1"/>
              </w:rPr>
              <w:t>26</w:t>
            </w:r>
            <w:r>
              <w:rPr>
                <w:rFonts w:ascii="仿宋" w:eastAsia="仿宋" w:hAnsi="仿宋" w:cs="宋体" w:hint="eastAsia"/>
                <w:color w:val="333333"/>
                <w:kern w:val="0"/>
                <w:sz w:val="24"/>
                <w:szCs w:val="24"/>
                <w:bdr w:val="none" w:sz="0" w:space="0" w:color="auto" w:frame="1"/>
              </w:rPr>
              <w:t>万股股份，并认购太阳股份定向发行的</w:t>
            </w:r>
            <w:r w:rsidR="00E92F6D">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2</w:t>
            </w:r>
            <w:r>
              <w:rPr>
                <w:rFonts w:ascii="仿宋" w:eastAsia="仿宋" w:hAnsi="仿宋" w:cs="宋体"/>
                <w:color w:val="333333"/>
                <w:kern w:val="0"/>
                <w:sz w:val="24"/>
                <w:szCs w:val="24"/>
                <w:bdr w:val="none" w:sz="0" w:space="0" w:color="auto" w:frame="1"/>
              </w:rPr>
              <w:t>74</w:t>
            </w:r>
            <w:r>
              <w:rPr>
                <w:rFonts w:ascii="仿宋" w:eastAsia="仿宋" w:hAnsi="仿宋" w:cs="宋体" w:hint="eastAsia"/>
                <w:color w:val="333333"/>
                <w:kern w:val="0"/>
                <w:sz w:val="24"/>
                <w:szCs w:val="24"/>
                <w:bdr w:val="none" w:sz="0" w:space="0" w:color="auto" w:frame="1"/>
              </w:rPr>
              <w:t>万股股份。本次交易完成后，苏垦农发</w:t>
            </w:r>
            <w:r w:rsidR="0001676C">
              <w:rPr>
                <w:rFonts w:ascii="仿宋" w:eastAsia="仿宋" w:hAnsi="仿宋" w:cs="宋体" w:hint="eastAsia"/>
                <w:color w:val="333333"/>
                <w:kern w:val="0"/>
                <w:sz w:val="24"/>
                <w:szCs w:val="24"/>
                <w:bdr w:val="none" w:sz="0" w:space="0" w:color="auto" w:frame="1"/>
              </w:rPr>
              <w:t>持有</w:t>
            </w:r>
            <w:r>
              <w:rPr>
                <w:rFonts w:ascii="仿宋" w:eastAsia="仿宋" w:hAnsi="仿宋" w:cs="宋体" w:hint="eastAsia"/>
                <w:color w:val="333333"/>
                <w:kern w:val="0"/>
                <w:sz w:val="24"/>
                <w:szCs w:val="24"/>
                <w:bdr w:val="none" w:sz="0" w:space="0" w:color="auto" w:frame="1"/>
              </w:rPr>
              <w:t>太阳股份4,</w:t>
            </w:r>
            <w:r>
              <w:rPr>
                <w:rFonts w:ascii="仿宋" w:eastAsia="仿宋" w:hAnsi="仿宋" w:cs="宋体"/>
                <w:color w:val="333333"/>
                <w:kern w:val="0"/>
                <w:sz w:val="24"/>
                <w:szCs w:val="24"/>
                <w:bdr w:val="none" w:sz="0" w:space="0" w:color="auto" w:frame="1"/>
              </w:rPr>
              <w:t>100</w:t>
            </w:r>
            <w:r>
              <w:rPr>
                <w:rFonts w:ascii="仿宋" w:eastAsia="仿宋" w:hAnsi="仿宋" w:cs="宋体" w:hint="eastAsia"/>
                <w:color w:val="333333"/>
                <w:kern w:val="0"/>
                <w:sz w:val="24"/>
                <w:szCs w:val="24"/>
                <w:bdr w:val="none" w:sz="0" w:space="0" w:color="auto" w:frame="1"/>
              </w:rPr>
              <w:t>万股股份，占太阳股份股本总额的5</w:t>
            </w:r>
            <w:r>
              <w:rPr>
                <w:rFonts w:ascii="仿宋" w:eastAsia="仿宋" w:hAnsi="仿宋" w:cs="宋体"/>
                <w:color w:val="333333"/>
                <w:kern w:val="0"/>
                <w:sz w:val="24"/>
                <w:szCs w:val="24"/>
                <w:bdr w:val="none" w:sz="0" w:space="0" w:color="auto" w:frame="1"/>
              </w:rPr>
              <w:t>1.25</w:t>
            </w:r>
            <w:r>
              <w:rPr>
                <w:rFonts w:ascii="仿宋" w:eastAsia="仿宋" w:hAnsi="仿宋" w:cs="宋体" w:hint="eastAsia"/>
                <w:color w:val="333333"/>
                <w:kern w:val="0"/>
                <w:sz w:val="24"/>
                <w:szCs w:val="24"/>
                <w:bdr w:val="none" w:sz="0" w:space="0" w:color="auto" w:frame="1"/>
              </w:rPr>
              <w:t>%，太阳股份成为苏垦农发的控股子公司。</w:t>
            </w:r>
          </w:p>
        </w:tc>
      </w:tr>
      <w:tr w:rsidR="00CB00DF" w:rsidRPr="00CB00DF" w14:paraId="51F9B0F7" w14:textId="77777777" w:rsidTr="00CB00DF">
        <w:trPr>
          <w:trHeight w:val="468"/>
        </w:trPr>
        <w:tc>
          <w:tcPr>
            <w:tcW w:w="1809" w:type="dxa"/>
            <w:vMerge w:val="restart"/>
            <w:shd w:val="clear" w:color="auto" w:fill="D9D9D9"/>
            <w:vAlign w:val="center"/>
          </w:tcPr>
          <w:p w14:paraId="6AE1040A"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5564F0F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1C7DEF6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581746">
              <w:rPr>
                <w:rFonts w:ascii="仿宋" w:eastAsia="仿宋" w:hAnsi="仿宋" w:cs="宋体" w:hint="eastAsia"/>
                <w:color w:val="333333"/>
                <w:kern w:val="0"/>
                <w:sz w:val="24"/>
                <w:szCs w:val="24"/>
                <w:bdr w:val="none" w:sz="0" w:space="0" w:color="auto" w:frame="1"/>
              </w:rPr>
              <w:t>苏垦农发</w:t>
            </w:r>
          </w:p>
        </w:tc>
        <w:tc>
          <w:tcPr>
            <w:tcW w:w="5153" w:type="dxa"/>
          </w:tcPr>
          <w:p w14:paraId="265625ED" w14:textId="77777777" w:rsidR="00CB00DF" w:rsidRPr="00CB00DF" w:rsidRDefault="00581746" w:rsidP="00581746">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苏垦农发</w:t>
            </w:r>
            <w:r w:rsidRPr="00581746">
              <w:rPr>
                <w:rFonts w:ascii="仿宋" w:eastAsia="仿宋" w:hAnsi="仿宋" w:cs="宋体" w:hint="eastAsia"/>
                <w:color w:val="333333"/>
                <w:kern w:val="0"/>
                <w:sz w:val="24"/>
                <w:szCs w:val="24"/>
                <w:bdr w:val="none" w:sz="0" w:space="0" w:color="auto" w:frame="1"/>
              </w:rPr>
              <w:t>系依法设立、合法存续并在</w:t>
            </w:r>
            <w:r>
              <w:rPr>
                <w:rFonts w:ascii="仿宋" w:eastAsia="仿宋" w:hAnsi="仿宋" w:cs="宋体" w:hint="eastAsia"/>
                <w:color w:val="333333"/>
                <w:kern w:val="0"/>
                <w:sz w:val="24"/>
                <w:szCs w:val="24"/>
                <w:bdr w:val="none" w:sz="0" w:space="0" w:color="auto" w:frame="1"/>
              </w:rPr>
              <w:t>上海</w:t>
            </w:r>
            <w:r w:rsidRPr="00581746">
              <w:rPr>
                <w:rFonts w:ascii="仿宋" w:eastAsia="仿宋" w:hAnsi="仿宋" w:cs="宋体" w:hint="eastAsia"/>
                <w:color w:val="333333"/>
                <w:kern w:val="0"/>
                <w:sz w:val="24"/>
                <w:szCs w:val="24"/>
                <w:bdr w:val="none" w:sz="0" w:space="0" w:color="auto" w:frame="1"/>
              </w:rPr>
              <w:t>证券交易所上市的股份有限公司</w:t>
            </w:r>
            <w:r>
              <w:rPr>
                <w:rFonts w:ascii="仿宋" w:eastAsia="仿宋" w:hAnsi="仿宋" w:cs="宋体" w:hint="eastAsia"/>
                <w:color w:val="333333"/>
                <w:kern w:val="0"/>
                <w:sz w:val="24"/>
                <w:szCs w:val="24"/>
                <w:bdr w:val="none" w:sz="0" w:space="0" w:color="auto" w:frame="1"/>
              </w:rPr>
              <w:t>，</w:t>
            </w:r>
            <w:r w:rsidRPr="00581746">
              <w:rPr>
                <w:rFonts w:ascii="仿宋" w:eastAsia="仿宋" w:hAnsi="仿宋" w:cs="宋体" w:hint="eastAsia"/>
                <w:color w:val="333333"/>
                <w:kern w:val="0"/>
                <w:sz w:val="24"/>
                <w:szCs w:val="24"/>
                <w:bdr w:val="none" w:sz="0" w:space="0" w:color="auto" w:frame="1"/>
              </w:rPr>
              <w:t>主营业务为稻麦种植、种子生产、大米加工及其产品销售。</w:t>
            </w:r>
          </w:p>
        </w:tc>
      </w:tr>
      <w:tr w:rsidR="0027583C" w:rsidRPr="00CB00DF" w14:paraId="0A3B2CE9" w14:textId="77777777" w:rsidTr="0027583C">
        <w:trPr>
          <w:trHeight w:val="1527"/>
        </w:trPr>
        <w:tc>
          <w:tcPr>
            <w:tcW w:w="1809" w:type="dxa"/>
            <w:vMerge/>
            <w:shd w:val="clear" w:color="auto" w:fill="D9D9D9"/>
            <w:vAlign w:val="center"/>
          </w:tcPr>
          <w:p w14:paraId="7306D296" w14:textId="77777777" w:rsidR="0027583C" w:rsidRPr="00CB00DF" w:rsidRDefault="0027583C"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vAlign w:val="center"/>
          </w:tcPr>
          <w:p w14:paraId="67C9C30B" w14:textId="77777777" w:rsidR="0027583C" w:rsidRPr="00CB00DF" w:rsidRDefault="0027583C" w:rsidP="0027583C">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太阳股份</w:t>
            </w:r>
          </w:p>
        </w:tc>
        <w:tc>
          <w:tcPr>
            <w:tcW w:w="5153" w:type="dxa"/>
          </w:tcPr>
          <w:p w14:paraId="424C7542" w14:textId="77777777" w:rsidR="0027583C" w:rsidRPr="00CB00DF" w:rsidRDefault="0027583C" w:rsidP="0027583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太阳股份系依法设立、合法存续</w:t>
            </w:r>
            <w:r w:rsidRPr="0027583C">
              <w:rPr>
                <w:rFonts w:ascii="仿宋" w:eastAsia="仿宋" w:hAnsi="仿宋" w:cs="宋体" w:hint="eastAsia"/>
                <w:color w:val="333333"/>
                <w:kern w:val="0"/>
                <w:sz w:val="24"/>
                <w:szCs w:val="24"/>
                <w:bdr w:val="none" w:sz="0" w:space="0" w:color="auto" w:frame="1"/>
              </w:rPr>
              <w:t>并在全国中小企业股份转让系统挂牌的股份有限公司</w:t>
            </w:r>
            <w:r>
              <w:rPr>
                <w:rFonts w:ascii="仿宋" w:eastAsia="仿宋" w:hAnsi="仿宋" w:cs="宋体" w:hint="eastAsia"/>
                <w:color w:val="333333"/>
                <w:kern w:val="0"/>
                <w:sz w:val="24"/>
                <w:szCs w:val="24"/>
                <w:bdr w:val="none" w:sz="0" w:space="0" w:color="auto" w:frame="1"/>
              </w:rPr>
              <w:t>，主营业务为</w:t>
            </w:r>
            <w:r w:rsidRPr="0027583C">
              <w:rPr>
                <w:rFonts w:ascii="仿宋" w:eastAsia="仿宋" w:hAnsi="仿宋" w:cs="宋体" w:hint="eastAsia"/>
                <w:color w:val="333333"/>
                <w:kern w:val="0"/>
                <w:sz w:val="24"/>
                <w:szCs w:val="24"/>
                <w:bdr w:val="none" w:sz="0" w:space="0" w:color="auto" w:frame="1"/>
              </w:rPr>
              <w:t>食用植物油的研发、生产和销售</w:t>
            </w:r>
            <w:r>
              <w:rPr>
                <w:rFonts w:ascii="仿宋" w:eastAsia="仿宋" w:hAnsi="仿宋" w:cs="宋体" w:hint="eastAsia"/>
                <w:color w:val="333333"/>
                <w:kern w:val="0"/>
                <w:sz w:val="24"/>
                <w:szCs w:val="24"/>
                <w:bdr w:val="none" w:sz="0" w:space="0" w:color="auto" w:frame="1"/>
              </w:rPr>
              <w:t>，</w:t>
            </w:r>
            <w:r w:rsidRPr="0027583C">
              <w:rPr>
                <w:rFonts w:ascii="仿宋" w:eastAsia="仿宋" w:hAnsi="仿宋" w:cs="宋体" w:hint="eastAsia"/>
                <w:color w:val="333333"/>
                <w:kern w:val="0"/>
                <w:sz w:val="24"/>
                <w:szCs w:val="24"/>
                <w:bdr w:val="none" w:sz="0" w:space="0" w:color="auto" w:frame="1"/>
              </w:rPr>
              <w:t>以葵花籽油、菜籽油为主</w:t>
            </w:r>
            <w:r>
              <w:rPr>
                <w:rFonts w:ascii="仿宋" w:eastAsia="仿宋" w:hAnsi="仿宋" w:cs="宋体" w:hint="eastAsia"/>
                <w:color w:val="333333"/>
                <w:kern w:val="0"/>
                <w:sz w:val="24"/>
                <w:szCs w:val="24"/>
                <w:bdr w:val="none" w:sz="0" w:space="0" w:color="auto" w:frame="1"/>
              </w:rPr>
              <w:t>。</w:t>
            </w:r>
          </w:p>
        </w:tc>
      </w:tr>
      <w:tr w:rsidR="00CB00DF" w:rsidRPr="00CB00DF" w14:paraId="506CDD38" w14:textId="77777777" w:rsidTr="00CB00DF">
        <w:trPr>
          <w:trHeight w:val="279"/>
        </w:trPr>
        <w:tc>
          <w:tcPr>
            <w:tcW w:w="1809" w:type="dxa"/>
            <w:vMerge w:val="restart"/>
            <w:shd w:val="clear" w:color="auto" w:fill="D9D9D9"/>
            <w:vAlign w:val="center"/>
          </w:tcPr>
          <w:p w14:paraId="1B36A88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1AEB501B"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14DB95D2" w14:textId="77777777" w:rsidTr="00CB00DF">
        <w:trPr>
          <w:trHeight w:val="330"/>
        </w:trPr>
        <w:tc>
          <w:tcPr>
            <w:tcW w:w="1809" w:type="dxa"/>
            <w:vMerge/>
            <w:shd w:val="clear" w:color="auto" w:fill="D9D9D9"/>
            <w:vAlign w:val="center"/>
          </w:tcPr>
          <w:p w14:paraId="7B6F9D2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3EC21DC"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3C2B834F" w14:textId="77777777" w:rsidTr="00CB00DF">
        <w:trPr>
          <w:trHeight w:val="285"/>
        </w:trPr>
        <w:tc>
          <w:tcPr>
            <w:tcW w:w="1809" w:type="dxa"/>
            <w:vMerge/>
            <w:shd w:val="clear" w:color="auto" w:fill="D9D9D9"/>
            <w:vAlign w:val="center"/>
          </w:tcPr>
          <w:p w14:paraId="470F42C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F827E14" w14:textId="77777777" w:rsidR="00CB00DF" w:rsidRPr="00CB00DF" w:rsidRDefault="0027583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sym w:font="Wingdings 2" w:char="F052"/>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36FD340D" w14:textId="77777777" w:rsidTr="00CB00DF">
        <w:trPr>
          <w:trHeight w:val="870"/>
        </w:trPr>
        <w:tc>
          <w:tcPr>
            <w:tcW w:w="1809" w:type="dxa"/>
            <w:vMerge/>
            <w:shd w:val="clear" w:color="auto" w:fill="D9D9D9"/>
            <w:vAlign w:val="center"/>
          </w:tcPr>
          <w:p w14:paraId="6C59307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4A4F2A3"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51E8A8FC" w14:textId="77777777" w:rsidTr="00CB00DF">
        <w:trPr>
          <w:trHeight w:val="264"/>
        </w:trPr>
        <w:tc>
          <w:tcPr>
            <w:tcW w:w="1809" w:type="dxa"/>
            <w:vMerge/>
            <w:shd w:val="clear" w:color="auto" w:fill="D9D9D9"/>
            <w:vAlign w:val="center"/>
          </w:tcPr>
          <w:p w14:paraId="2AC2B29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A49F27F"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w:t>
            </w:r>
            <w:r w:rsidRPr="00CB00DF">
              <w:rPr>
                <w:rFonts w:ascii="仿宋" w:eastAsia="仿宋" w:hAnsi="仿宋" w:cs="宋体" w:hint="eastAsia"/>
                <w:color w:val="333333"/>
                <w:kern w:val="0"/>
                <w:sz w:val="24"/>
                <w:szCs w:val="24"/>
                <w:bdr w:val="none" w:sz="0" w:space="0" w:color="auto" w:frame="1"/>
              </w:rPr>
              <w:lastRenderedPageBreak/>
              <w:t>不在中国境内从事经济活动。</w:t>
            </w:r>
          </w:p>
        </w:tc>
      </w:tr>
      <w:tr w:rsidR="00CB00DF" w:rsidRPr="00CB00DF" w14:paraId="21EC38CB" w14:textId="77777777" w:rsidTr="00CB00DF">
        <w:trPr>
          <w:trHeight w:val="345"/>
        </w:trPr>
        <w:tc>
          <w:tcPr>
            <w:tcW w:w="1809" w:type="dxa"/>
            <w:vMerge/>
            <w:shd w:val="clear" w:color="auto" w:fill="D9D9D9"/>
            <w:vAlign w:val="center"/>
          </w:tcPr>
          <w:p w14:paraId="65A7A3E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B471B3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5659FFCD" w14:textId="77777777" w:rsidTr="00CB00DF">
        <w:tc>
          <w:tcPr>
            <w:tcW w:w="1809" w:type="dxa"/>
            <w:shd w:val="clear" w:color="auto" w:fill="D9D9D9"/>
            <w:vAlign w:val="center"/>
          </w:tcPr>
          <w:p w14:paraId="7E4B8A8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330F3604" w14:textId="77777777" w:rsidR="00CB00DF" w:rsidRDefault="0027583C" w:rsidP="006908A4">
            <w:pPr>
              <w:spacing w:line="500" w:lineRule="exact"/>
              <w:rPr>
                <w:rFonts w:ascii="仿宋" w:eastAsia="仿宋" w:hAnsi="仿宋" w:cs="宋体"/>
                <w:color w:val="333333"/>
                <w:kern w:val="0"/>
                <w:sz w:val="24"/>
                <w:szCs w:val="24"/>
                <w:bdr w:val="none" w:sz="0" w:space="0" w:color="auto" w:frame="1"/>
              </w:rPr>
            </w:pPr>
            <w:r w:rsidRPr="0027583C">
              <w:rPr>
                <w:rFonts w:ascii="仿宋" w:eastAsia="仿宋" w:hAnsi="仿宋" w:cs="宋体" w:hint="eastAsia"/>
                <w:color w:val="333333"/>
                <w:kern w:val="0"/>
                <w:sz w:val="24"/>
                <w:szCs w:val="24"/>
                <w:bdr w:val="none" w:sz="0" w:space="0" w:color="auto" w:frame="1"/>
              </w:rPr>
              <w:t>本次交易，相关商品市场为</w:t>
            </w:r>
            <w:r>
              <w:rPr>
                <w:rFonts w:ascii="仿宋" w:eastAsia="仿宋" w:hAnsi="仿宋" w:cs="宋体" w:hint="eastAsia"/>
                <w:color w:val="333333"/>
                <w:kern w:val="0"/>
                <w:sz w:val="24"/>
                <w:szCs w:val="24"/>
                <w:bdr w:val="none" w:sz="0" w:space="0" w:color="auto" w:frame="1"/>
              </w:rPr>
              <w:t>葵花籽油市场</w:t>
            </w:r>
            <w:r w:rsidR="00613FC8">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菜籽油市场</w:t>
            </w:r>
            <w:r w:rsidR="00613FC8">
              <w:rPr>
                <w:rFonts w:ascii="仿宋" w:eastAsia="仿宋" w:hAnsi="仿宋" w:cs="宋体" w:hint="eastAsia"/>
                <w:color w:val="333333"/>
                <w:kern w:val="0"/>
                <w:sz w:val="24"/>
                <w:szCs w:val="24"/>
                <w:bdr w:val="none" w:sz="0" w:space="0" w:color="auto" w:frame="1"/>
              </w:rPr>
              <w:t>、大豆油市场、水稻种植市场、小麦种植市场、水稻种业市场、小麦种业市场、大米加工业市场</w:t>
            </w:r>
            <w:r>
              <w:rPr>
                <w:rFonts w:ascii="仿宋" w:eastAsia="仿宋" w:hAnsi="仿宋" w:cs="宋体" w:hint="eastAsia"/>
                <w:color w:val="333333"/>
                <w:kern w:val="0"/>
                <w:sz w:val="24"/>
                <w:szCs w:val="24"/>
                <w:bdr w:val="none" w:sz="0" w:space="0" w:color="auto" w:frame="1"/>
              </w:rPr>
              <w:t>，相关地域市场均为中国市场。</w:t>
            </w:r>
          </w:p>
          <w:p w14:paraId="6997F56B" w14:textId="77777777" w:rsidR="0027583C" w:rsidRDefault="0027583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太阳股份在葵花籽油市场的市场份额为1%-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p w14:paraId="05AEEC08" w14:textId="77777777" w:rsidR="0027583C" w:rsidRDefault="0027583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太阳股份在菜籽油市场的市场份额为1%-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00613FC8">
              <w:rPr>
                <w:rFonts w:ascii="仿宋" w:eastAsia="仿宋" w:hAnsi="仿宋" w:cs="宋体" w:hint="eastAsia"/>
                <w:color w:val="333333"/>
                <w:kern w:val="0"/>
                <w:sz w:val="24"/>
                <w:szCs w:val="24"/>
                <w:bdr w:val="none" w:sz="0" w:space="0" w:color="auto" w:frame="1"/>
              </w:rPr>
              <w:t>；</w:t>
            </w:r>
          </w:p>
          <w:p w14:paraId="22A1A070" w14:textId="77777777" w:rsidR="00613FC8" w:rsidRDefault="00613FC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太阳股份在大豆油市场的市场份额为1%-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p w14:paraId="2D949EA3" w14:textId="77777777" w:rsidR="00613FC8" w:rsidRDefault="00613FC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苏垦农发在水稻种植市场的市场份额为1%-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p w14:paraId="3996A4AA" w14:textId="77777777" w:rsidR="00613FC8" w:rsidRDefault="00613FC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苏垦农发在小麦种植市场的市场份额为1%-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p w14:paraId="6337D23E" w14:textId="77777777" w:rsidR="00613FC8" w:rsidRDefault="00613FC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苏垦农发在水稻种业市场的市场份额为1%-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p w14:paraId="6F896F1C" w14:textId="77777777" w:rsidR="00613FC8" w:rsidRDefault="00613FC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苏垦农发在小麦种业市场的市场份额为1%-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p w14:paraId="0678762B" w14:textId="77777777" w:rsidR="00613FC8" w:rsidRPr="00CB00DF" w:rsidRDefault="00613FC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苏垦农发在大米加工业市场的市场份额为1%-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bl>
    <w:p w14:paraId="55B72D71" w14:textId="77777777" w:rsidR="00CB00DF" w:rsidRDefault="00CB00DF" w:rsidP="00CB00DF">
      <w:pPr>
        <w:snapToGrid w:val="0"/>
        <w:spacing w:line="240" w:lineRule="exact"/>
        <w:jc w:val="left"/>
        <w:rPr>
          <w:rFonts w:ascii="楷体_GB2312" w:eastAsia="楷体_GB2312" w:hAnsi="宋体"/>
          <w:sz w:val="24"/>
          <w:szCs w:val="24"/>
        </w:rPr>
      </w:pPr>
    </w:p>
    <w:p w14:paraId="6F573D50" w14:textId="77777777" w:rsidR="00CB00DF" w:rsidRPr="00E93C69" w:rsidRDefault="00CB00DF" w:rsidP="00CB00DF">
      <w:pPr>
        <w:snapToGrid w:val="0"/>
        <w:spacing w:line="240" w:lineRule="exact"/>
        <w:jc w:val="left"/>
        <w:rPr>
          <w:rFonts w:ascii="仿宋" w:eastAsia="仿宋" w:hAnsi="仿宋"/>
          <w:sz w:val="24"/>
          <w:szCs w:val="24"/>
        </w:rPr>
      </w:pPr>
      <w:r w:rsidRPr="00E93C69">
        <w:rPr>
          <w:rFonts w:ascii="仿宋" w:eastAsia="仿宋" w:hAnsi="仿宋" w:hint="eastAsia"/>
          <w:sz w:val="24"/>
          <w:szCs w:val="24"/>
        </w:rPr>
        <w:t>注解：</w:t>
      </w:r>
    </w:p>
    <w:p w14:paraId="00D80A2C" w14:textId="77777777" w:rsidR="00CB00DF" w:rsidRPr="00E93C69" w:rsidRDefault="00CB00DF" w:rsidP="00CB00DF">
      <w:pPr>
        <w:snapToGrid w:val="0"/>
        <w:spacing w:line="360" w:lineRule="auto"/>
        <w:ind w:firstLineChars="200" w:firstLine="480"/>
        <w:jc w:val="left"/>
        <w:rPr>
          <w:rFonts w:ascii="仿宋" w:eastAsia="仿宋" w:hAnsi="仿宋"/>
          <w:sz w:val="24"/>
          <w:szCs w:val="24"/>
        </w:rPr>
      </w:pPr>
      <w:r w:rsidRPr="00E93C69">
        <w:rPr>
          <w:rFonts w:ascii="仿宋" w:eastAsia="仿宋" w:hAnsi="仿宋"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7B0AE0DE" w14:textId="77777777" w:rsidR="00CB00DF" w:rsidRPr="00E93C69" w:rsidRDefault="00CB00DF" w:rsidP="00CB00DF">
      <w:pPr>
        <w:spacing w:line="360" w:lineRule="auto"/>
        <w:ind w:firstLineChars="200" w:firstLine="480"/>
        <w:rPr>
          <w:rFonts w:ascii="仿宋" w:eastAsia="仿宋" w:hAnsi="仿宋"/>
          <w:sz w:val="28"/>
          <w:szCs w:val="28"/>
        </w:rPr>
      </w:pPr>
      <w:r w:rsidRPr="00E93C69">
        <w:rPr>
          <w:rFonts w:ascii="仿宋" w:eastAsia="仿宋" w:hAnsi="仿宋" w:hint="eastAsia"/>
          <w:sz w:val="24"/>
          <w:szCs w:val="24"/>
        </w:rPr>
        <w:t>2.申报方申请简易案件的理由是基于第4项、第5项时，无须在备注中说明相关市场和市场份额。</w:t>
      </w:r>
      <w:r w:rsidRPr="00E93C69">
        <w:rPr>
          <w:rFonts w:ascii="仿宋" w:eastAsia="仿宋" w:hAnsi="仿宋"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14:paraId="6B61AF44" w14:textId="77777777" w:rsidR="00CB00DF" w:rsidRPr="00E93C69" w:rsidRDefault="00CB00DF" w:rsidP="00CB00DF">
      <w:pPr>
        <w:rPr>
          <w:rFonts w:ascii="仿宋" w:eastAsia="仿宋" w:hAnsi="仿宋"/>
        </w:rPr>
      </w:pPr>
    </w:p>
    <w:p w14:paraId="1D8DAA6F" w14:textId="77777777" w:rsidR="000F5E24" w:rsidRPr="00E93C69" w:rsidRDefault="00B268FA">
      <w:pPr>
        <w:rPr>
          <w:rFonts w:ascii="仿宋" w:eastAsia="仿宋" w:hAnsi="仿宋"/>
        </w:rPr>
      </w:pPr>
    </w:p>
    <w:sectPr w:rsidR="000F5E24" w:rsidRPr="00E93C69"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9D266" w14:textId="77777777" w:rsidR="00B268FA" w:rsidRDefault="00B268FA" w:rsidP="00152D50">
      <w:r>
        <w:separator/>
      </w:r>
    </w:p>
  </w:endnote>
  <w:endnote w:type="continuationSeparator" w:id="0">
    <w:p w14:paraId="39309E33" w14:textId="77777777" w:rsidR="00B268FA" w:rsidRDefault="00B268FA" w:rsidP="00152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charset w:val="02"/>
    <w:family w:val="decorative"/>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CC513" w14:textId="77777777" w:rsidR="00B268FA" w:rsidRDefault="00B268FA" w:rsidP="00152D50">
      <w:r>
        <w:separator/>
      </w:r>
    </w:p>
  </w:footnote>
  <w:footnote w:type="continuationSeparator" w:id="0">
    <w:p w14:paraId="4D313AEE" w14:textId="77777777" w:rsidR="00B268FA" w:rsidRDefault="00B268FA" w:rsidP="00152D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0DF"/>
    <w:rsid w:val="0001676C"/>
    <w:rsid w:val="00037065"/>
    <w:rsid w:val="000D7EBA"/>
    <w:rsid w:val="001164CD"/>
    <w:rsid w:val="00152D50"/>
    <w:rsid w:val="00155717"/>
    <w:rsid w:val="001837A3"/>
    <w:rsid w:val="0027583C"/>
    <w:rsid w:val="002D15C7"/>
    <w:rsid w:val="003C0AEB"/>
    <w:rsid w:val="003E476B"/>
    <w:rsid w:val="004F7688"/>
    <w:rsid w:val="00581746"/>
    <w:rsid w:val="00613FC8"/>
    <w:rsid w:val="006467D8"/>
    <w:rsid w:val="006A531B"/>
    <w:rsid w:val="006F7693"/>
    <w:rsid w:val="00710140"/>
    <w:rsid w:val="007F2275"/>
    <w:rsid w:val="008D2024"/>
    <w:rsid w:val="008F793D"/>
    <w:rsid w:val="00915F0F"/>
    <w:rsid w:val="009532DF"/>
    <w:rsid w:val="00997019"/>
    <w:rsid w:val="009A5029"/>
    <w:rsid w:val="009D38D5"/>
    <w:rsid w:val="00A53F26"/>
    <w:rsid w:val="00AA0CC5"/>
    <w:rsid w:val="00B16AFE"/>
    <w:rsid w:val="00B268FA"/>
    <w:rsid w:val="00B65DD5"/>
    <w:rsid w:val="00BD10B6"/>
    <w:rsid w:val="00C07076"/>
    <w:rsid w:val="00CB00DF"/>
    <w:rsid w:val="00D73C72"/>
    <w:rsid w:val="00E0592B"/>
    <w:rsid w:val="00E31738"/>
    <w:rsid w:val="00E86786"/>
    <w:rsid w:val="00E92F6D"/>
    <w:rsid w:val="00E93C69"/>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3DA5E"/>
  <w15:docId w15:val="{F22F01BF-13F1-4941-90F0-90A1B7B6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52D5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52D50"/>
    <w:rPr>
      <w:rFonts w:ascii="Calibri" w:eastAsia="宋体" w:hAnsi="Calibri" w:cs="Times New Roman"/>
      <w:sz w:val="18"/>
      <w:szCs w:val="18"/>
    </w:rPr>
  </w:style>
  <w:style w:type="paragraph" w:styleId="a5">
    <w:name w:val="footer"/>
    <w:basedOn w:val="a"/>
    <w:link w:val="a6"/>
    <w:uiPriority w:val="99"/>
    <w:unhideWhenUsed/>
    <w:rsid w:val="00152D50"/>
    <w:pPr>
      <w:tabs>
        <w:tab w:val="center" w:pos="4153"/>
        <w:tab w:val="right" w:pos="8306"/>
      </w:tabs>
      <w:snapToGrid w:val="0"/>
      <w:jc w:val="left"/>
    </w:pPr>
    <w:rPr>
      <w:sz w:val="18"/>
      <w:szCs w:val="18"/>
    </w:rPr>
  </w:style>
  <w:style w:type="character" w:customStyle="1" w:styleId="a6">
    <w:name w:val="页脚 字符"/>
    <w:basedOn w:val="a0"/>
    <w:link w:val="a5"/>
    <w:uiPriority w:val="99"/>
    <w:rsid w:val="00152D50"/>
    <w:rPr>
      <w:rFonts w:ascii="Calibri" w:eastAsia="宋体" w:hAnsi="Calibri" w:cs="Times New Roman"/>
      <w:sz w:val="18"/>
      <w:szCs w:val="18"/>
    </w:rPr>
  </w:style>
  <w:style w:type="character" w:styleId="a7">
    <w:name w:val="annotation reference"/>
    <w:basedOn w:val="a0"/>
    <w:uiPriority w:val="99"/>
    <w:semiHidden/>
    <w:unhideWhenUsed/>
    <w:rsid w:val="0001676C"/>
    <w:rPr>
      <w:sz w:val="21"/>
      <w:szCs w:val="21"/>
    </w:rPr>
  </w:style>
  <w:style w:type="paragraph" w:styleId="a8">
    <w:name w:val="annotation text"/>
    <w:basedOn w:val="a"/>
    <w:link w:val="a9"/>
    <w:uiPriority w:val="99"/>
    <w:semiHidden/>
    <w:unhideWhenUsed/>
    <w:rsid w:val="0001676C"/>
    <w:pPr>
      <w:jc w:val="left"/>
    </w:pPr>
  </w:style>
  <w:style w:type="character" w:customStyle="1" w:styleId="a9">
    <w:name w:val="批注文字 字符"/>
    <w:basedOn w:val="a0"/>
    <w:link w:val="a8"/>
    <w:uiPriority w:val="99"/>
    <w:semiHidden/>
    <w:rsid w:val="0001676C"/>
    <w:rPr>
      <w:rFonts w:ascii="Calibri" w:eastAsia="宋体" w:hAnsi="Calibri" w:cs="Times New Roman"/>
    </w:rPr>
  </w:style>
  <w:style w:type="paragraph" w:styleId="aa">
    <w:name w:val="annotation subject"/>
    <w:basedOn w:val="a8"/>
    <w:next w:val="a8"/>
    <w:link w:val="ab"/>
    <w:uiPriority w:val="99"/>
    <w:semiHidden/>
    <w:unhideWhenUsed/>
    <w:rsid w:val="0001676C"/>
    <w:rPr>
      <w:b/>
      <w:bCs/>
    </w:rPr>
  </w:style>
  <w:style w:type="character" w:customStyle="1" w:styleId="ab">
    <w:name w:val="批注主题 字符"/>
    <w:basedOn w:val="a9"/>
    <w:link w:val="aa"/>
    <w:uiPriority w:val="99"/>
    <w:semiHidden/>
    <w:rsid w:val="0001676C"/>
    <w:rPr>
      <w:rFonts w:ascii="Calibri" w:eastAsia="宋体" w:hAnsi="Calibri" w:cs="Times New Roman"/>
      <w:b/>
      <w:bCs/>
    </w:rPr>
  </w:style>
  <w:style w:type="paragraph" w:styleId="ac">
    <w:name w:val="Balloon Text"/>
    <w:basedOn w:val="a"/>
    <w:link w:val="ad"/>
    <w:uiPriority w:val="99"/>
    <w:semiHidden/>
    <w:unhideWhenUsed/>
    <w:rsid w:val="0001676C"/>
    <w:rPr>
      <w:sz w:val="18"/>
      <w:szCs w:val="18"/>
    </w:rPr>
  </w:style>
  <w:style w:type="character" w:customStyle="1" w:styleId="ad">
    <w:name w:val="批注框文本 字符"/>
    <w:basedOn w:val="a0"/>
    <w:link w:val="ac"/>
    <w:uiPriority w:val="99"/>
    <w:semiHidden/>
    <w:rsid w:val="0001676C"/>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凯 李</cp:lastModifiedBy>
  <cp:revision>5</cp:revision>
  <dcterms:created xsi:type="dcterms:W3CDTF">2018-11-30T06:20:00Z</dcterms:created>
  <dcterms:modified xsi:type="dcterms:W3CDTF">2018-11-30T07:28:00Z</dcterms:modified>
</cp:coreProperties>
</file>