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D94" w:rsidRPr="0088530B" w:rsidRDefault="00C45095">
      <w:pPr>
        <w:spacing w:line="440" w:lineRule="exact"/>
        <w:jc w:val="center"/>
        <w:rPr>
          <w:rFonts w:asciiTheme="minorEastAsia" w:eastAsiaTheme="minorEastAsia" w:hAnsiTheme="minorEastAsia"/>
          <w:b/>
          <w:bCs/>
          <w:sz w:val="24"/>
          <w:szCs w:val="24"/>
        </w:rPr>
      </w:pPr>
      <w:bookmarkStart w:id="0" w:name="_GoBack"/>
      <w:r w:rsidRPr="0088530B">
        <w:rPr>
          <w:rFonts w:asciiTheme="minorEastAsia" w:eastAsiaTheme="minorEastAsia" w:hAnsiTheme="minorEastAsia" w:hint="eastAsia"/>
          <w:b/>
          <w:bCs/>
          <w:sz w:val="24"/>
          <w:szCs w:val="24"/>
        </w:rPr>
        <w:t>经营者集中简易案件公示表</w:t>
      </w:r>
    </w:p>
    <w:bookmarkEnd w:id="0"/>
    <w:p w:rsidR="00E94D94" w:rsidRPr="0088530B" w:rsidRDefault="00E94D94">
      <w:pPr>
        <w:spacing w:line="440" w:lineRule="exact"/>
        <w:rPr>
          <w:rFonts w:asciiTheme="minorEastAsia" w:eastAsiaTheme="minorEastAsia" w:hAnsiTheme="minorEastAsia"/>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157EED" w:rsidRPr="0088530B" w:rsidTr="00CF4890">
        <w:trPr>
          <w:trHeight w:val="670"/>
        </w:trPr>
        <w:tc>
          <w:tcPr>
            <w:tcW w:w="1809" w:type="dxa"/>
            <w:shd w:val="clear" w:color="auto" w:fill="D9D9D9"/>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案件名称</w:t>
            </w:r>
          </w:p>
        </w:tc>
        <w:tc>
          <w:tcPr>
            <w:tcW w:w="6949" w:type="dxa"/>
            <w:gridSpan w:val="2"/>
            <w:vAlign w:val="center"/>
          </w:tcPr>
          <w:p w:rsidR="00E94D94" w:rsidRPr="0057191E" w:rsidRDefault="0057191E" w:rsidP="00CF4890">
            <w:pPr>
              <w:rPr>
                <w:rFonts w:asciiTheme="minorEastAsia" w:eastAsiaTheme="minorEastAsia" w:hAnsiTheme="minorEastAsia" w:cs="楷体"/>
                <w:sz w:val="24"/>
                <w:szCs w:val="24"/>
                <w:lang w:bidi="ar"/>
              </w:rPr>
            </w:pPr>
            <w:r w:rsidRPr="0057191E">
              <w:rPr>
                <w:rFonts w:eastAsiaTheme="minorEastAsia"/>
                <w:kern w:val="0"/>
                <w:sz w:val="24"/>
                <w:szCs w:val="24"/>
              </w:rPr>
              <w:t>翰昂系统株式会社</w:t>
            </w:r>
            <w:r w:rsidRPr="0057191E">
              <w:rPr>
                <w:rFonts w:eastAsiaTheme="minorEastAsia" w:hint="eastAsia"/>
                <w:kern w:val="0"/>
                <w:sz w:val="24"/>
                <w:szCs w:val="24"/>
              </w:rPr>
              <w:t>（“翰昂”）</w:t>
            </w:r>
            <w:r w:rsidRPr="0057191E">
              <w:rPr>
                <w:rFonts w:eastAsiaTheme="minorEastAsia"/>
                <w:kern w:val="0"/>
                <w:sz w:val="24"/>
                <w:szCs w:val="24"/>
              </w:rPr>
              <w:t>收购麦格纳国际</w:t>
            </w:r>
            <w:r w:rsidR="00B06F32">
              <w:rPr>
                <w:rFonts w:eastAsiaTheme="minorEastAsia"/>
                <w:kern w:val="0"/>
                <w:sz w:val="24"/>
                <w:szCs w:val="24"/>
              </w:rPr>
              <w:t>公司</w:t>
            </w:r>
            <w:r>
              <w:rPr>
                <w:rFonts w:eastAsiaTheme="minorEastAsia" w:hint="eastAsia"/>
                <w:kern w:val="0"/>
                <w:sz w:val="24"/>
                <w:szCs w:val="24"/>
              </w:rPr>
              <w:t>（“麦格纳”）</w:t>
            </w:r>
            <w:r w:rsidRPr="0057191E">
              <w:rPr>
                <w:rFonts w:eastAsiaTheme="minorEastAsia"/>
                <w:kern w:val="0"/>
                <w:sz w:val="24"/>
                <w:szCs w:val="24"/>
              </w:rPr>
              <w:t>部分液体气压和控制业务</w:t>
            </w:r>
            <w:r>
              <w:rPr>
                <w:rFonts w:eastAsiaTheme="minorEastAsia" w:hint="eastAsia"/>
                <w:kern w:val="0"/>
                <w:sz w:val="24"/>
                <w:szCs w:val="24"/>
              </w:rPr>
              <w:t>（“目标业务”）</w:t>
            </w:r>
            <w:r w:rsidRPr="0057191E">
              <w:rPr>
                <w:rFonts w:eastAsiaTheme="minorEastAsia"/>
                <w:kern w:val="0"/>
                <w:sz w:val="24"/>
                <w:szCs w:val="24"/>
              </w:rPr>
              <w:t>案</w:t>
            </w:r>
            <w:r w:rsidR="00C54222" w:rsidRPr="0057191E">
              <w:rPr>
                <w:rFonts w:asciiTheme="minorEastAsia" w:eastAsiaTheme="minorEastAsia" w:hAnsiTheme="minorEastAsia" w:cs="宋体" w:hint="eastAsia"/>
                <w:kern w:val="0"/>
                <w:sz w:val="24"/>
                <w:szCs w:val="24"/>
              </w:rPr>
              <w:t>（“本交易”）</w:t>
            </w:r>
          </w:p>
        </w:tc>
      </w:tr>
      <w:tr w:rsidR="00157EED" w:rsidRPr="0088530B" w:rsidTr="00C54222">
        <w:trPr>
          <w:trHeight w:val="1260"/>
        </w:trPr>
        <w:tc>
          <w:tcPr>
            <w:tcW w:w="1809" w:type="dxa"/>
            <w:shd w:val="clear" w:color="auto" w:fill="D9D9D9"/>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交易概况（限200字内）</w:t>
            </w:r>
          </w:p>
        </w:tc>
        <w:tc>
          <w:tcPr>
            <w:tcW w:w="6949" w:type="dxa"/>
            <w:gridSpan w:val="2"/>
            <w:vAlign w:val="center"/>
          </w:tcPr>
          <w:p w:rsidR="0087671E" w:rsidRPr="0088530B" w:rsidRDefault="0057191E" w:rsidP="0057191E">
            <w:pPr>
              <w:widowControl/>
              <w:snapToGrid w:val="0"/>
              <w:spacing w:after="240"/>
              <w:rPr>
                <w:rFonts w:asciiTheme="minorEastAsia" w:eastAsiaTheme="minorEastAsia" w:hAnsiTheme="minorEastAsia" w:cs="楷体"/>
                <w:sz w:val="24"/>
                <w:szCs w:val="24"/>
                <w:lang w:bidi="ar"/>
              </w:rPr>
            </w:pPr>
            <w:r w:rsidRPr="0057191E">
              <w:rPr>
                <w:rFonts w:asciiTheme="minorEastAsia" w:eastAsiaTheme="minorEastAsia" w:hAnsiTheme="minorEastAsia" w:cs="楷体" w:hint="eastAsia"/>
                <w:sz w:val="24"/>
                <w:szCs w:val="24"/>
                <w:lang w:bidi="ar"/>
              </w:rPr>
              <w:t>根据2018年9月20日签署的《买卖协议》，翰昂同意通过一项结合了股份和资产的交易收购麦格纳的全球液体气压和控制业务的绝大部分资产。本交易后，翰昂将成为目标业务的唯一所有人。</w:t>
            </w:r>
            <w:r w:rsidR="00B06F32" w:rsidRPr="0057191E">
              <w:rPr>
                <w:rFonts w:asciiTheme="minorEastAsia" w:eastAsiaTheme="minorEastAsia" w:hAnsiTheme="minorEastAsia" w:cs="楷体" w:hint="eastAsia"/>
                <w:sz w:val="24"/>
                <w:szCs w:val="24"/>
                <w:lang w:bidi="ar"/>
              </w:rPr>
              <w:t>翰昂在全球拥有40个生产基地，18个工程基地以及共计16,500名员工。</w:t>
            </w:r>
          </w:p>
        </w:tc>
      </w:tr>
      <w:tr w:rsidR="00157EED" w:rsidRPr="0088530B" w:rsidTr="0088530B">
        <w:trPr>
          <w:trHeight w:val="1562"/>
        </w:trPr>
        <w:tc>
          <w:tcPr>
            <w:tcW w:w="1809" w:type="dxa"/>
            <w:vMerge w:val="restart"/>
            <w:shd w:val="clear" w:color="auto" w:fill="D9D9D9"/>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参与集中的经营者简介</w:t>
            </w:r>
          </w:p>
        </w:tc>
        <w:tc>
          <w:tcPr>
            <w:tcW w:w="1796" w:type="dxa"/>
            <w:vAlign w:val="center"/>
          </w:tcPr>
          <w:p w:rsidR="00E94D94" w:rsidRPr="0088530B" w:rsidRDefault="00C45095" w:rsidP="00CF4890">
            <w:pPr>
              <w:rPr>
                <w:rFonts w:asciiTheme="minorEastAsia" w:eastAsiaTheme="minorEastAsia" w:hAnsiTheme="minorEastAsia" w:cs="楷体"/>
                <w:sz w:val="24"/>
                <w:szCs w:val="24"/>
              </w:rPr>
            </w:pPr>
            <w:r w:rsidRPr="0088530B">
              <w:rPr>
                <w:rFonts w:asciiTheme="minorEastAsia" w:eastAsiaTheme="minorEastAsia" w:hAnsiTheme="minorEastAsia" w:cs="楷体" w:hint="eastAsia"/>
                <w:sz w:val="24"/>
                <w:szCs w:val="24"/>
              </w:rPr>
              <w:t>1、</w:t>
            </w:r>
            <w:r w:rsidR="0057191E">
              <w:rPr>
                <w:rFonts w:asciiTheme="minorEastAsia" w:eastAsiaTheme="minorEastAsia" w:hAnsiTheme="minorEastAsia" w:cs="楷体" w:hint="eastAsia"/>
                <w:sz w:val="24"/>
                <w:szCs w:val="24"/>
              </w:rPr>
              <w:t>翰昂</w:t>
            </w:r>
          </w:p>
        </w:tc>
        <w:tc>
          <w:tcPr>
            <w:tcW w:w="5153" w:type="dxa"/>
            <w:vAlign w:val="center"/>
          </w:tcPr>
          <w:p w:rsidR="00ED16C2" w:rsidRPr="0088530B" w:rsidRDefault="0057191E" w:rsidP="0057191E">
            <w:pPr>
              <w:widowControl/>
              <w:snapToGrid w:val="0"/>
              <w:rPr>
                <w:rFonts w:asciiTheme="minorEastAsia" w:eastAsiaTheme="minorEastAsia" w:hAnsiTheme="minorEastAsia" w:cs="楷体"/>
                <w:sz w:val="24"/>
                <w:szCs w:val="24"/>
                <w:lang w:bidi="ar"/>
              </w:rPr>
            </w:pPr>
            <w:r w:rsidRPr="0057191E">
              <w:rPr>
                <w:rFonts w:asciiTheme="minorEastAsia" w:eastAsiaTheme="minorEastAsia" w:hAnsiTheme="minorEastAsia" w:cs="楷体" w:hint="eastAsia"/>
                <w:sz w:val="24"/>
                <w:szCs w:val="24"/>
                <w:lang w:bidi="ar"/>
              </w:rPr>
              <w:t>翰昂是一家韩国公司，在全球范围内主要从事汽车热管理系统（也称气候控制系统）的制造和供应。翰昂在全球拥有40个生产基地，18个工程基地以及共计16,500名员工。</w:t>
            </w:r>
          </w:p>
        </w:tc>
      </w:tr>
      <w:tr w:rsidR="00157EED" w:rsidRPr="0088530B" w:rsidTr="00AD0AF8">
        <w:trPr>
          <w:trHeight w:val="1255"/>
        </w:trPr>
        <w:tc>
          <w:tcPr>
            <w:tcW w:w="1809" w:type="dxa"/>
            <w:vMerge/>
            <w:shd w:val="clear" w:color="auto" w:fill="D9D9D9"/>
          </w:tcPr>
          <w:p w:rsidR="00E94D94" w:rsidRPr="0088530B" w:rsidRDefault="00E94D94">
            <w:pPr>
              <w:spacing w:line="500" w:lineRule="exact"/>
              <w:rPr>
                <w:rFonts w:asciiTheme="minorEastAsia" w:eastAsiaTheme="minorEastAsia" w:hAnsiTheme="minorEastAsia"/>
                <w:sz w:val="24"/>
                <w:szCs w:val="24"/>
              </w:rPr>
            </w:pPr>
          </w:p>
        </w:tc>
        <w:tc>
          <w:tcPr>
            <w:tcW w:w="1796" w:type="dxa"/>
            <w:vAlign w:val="center"/>
          </w:tcPr>
          <w:p w:rsidR="00E94D94" w:rsidRPr="0088530B" w:rsidRDefault="00C45095" w:rsidP="00646327">
            <w:pPr>
              <w:rPr>
                <w:rFonts w:asciiTheme="minorEastAsia" w:eastAsiaTheme="minorEastAsia" w:hAnsiTheme="minorEastAsia" w:cs="楷体"/>
                <w:sz w:val="24"/>
                <w:szCs w:val="24"/>
              </w:rPr>
            </w:pPr>
            <w:r w:rsidRPr="0088530B">
              <w:rPr>
                <w:rFonts w:asciiTheme="minorEastAsia" w:eastAsiaTheme="minorEastAsia" w:hAnsiTheme="minorEastAsia" w:cs="楷体" w:hint="eastAsia"/>
                <w:sz w:val="24"/>
                <w:szCs w:val="24"/>
              </w:rPr>
              <w:t>2、</w:t>
            </w:r>
            <w:r w:rsidR="0057191E">
              <w:rPr>
                <w:rFonts w:asciiTheme="minorEastAsia" w:eastAsiaTheme="minorEastAsia" w:hAnsiTheme="minorEastAsia" w:cs="楷体" w:hint="eastAsia"/>
                <w:sz w:val="24"/>
                <w:szCs w:val="24"/>
              </w:rPr>
              <w:t>目标业务</w:t>
            </w:r>
          </w:p>
        </w:tc>
        <w:tc>
          <w:tcPr>
            <w:tcW w:w="5153" w:type="dxa"/>
            <w:vAlign w:val="center"/>
          </w:tcPr>
          <w:p w:rsidR="00B54F6A" w:rsidRPr="0088530B" w:rsidRDefault="0013000B" w:rsidP="00B06F32">
            <w:pPr>
              <w:rPr>
                <w:rFonts w:asciiTheme="minorEastAsia" w:eastAsiaTheme="minorEastAsia" w:hAnsiTheme="minorEastAsia" w:cs="楷体"/>
                <w:sz w:val="24"/>
                <w:szCs w:val="24"/>
                <w:lang w:bidi="ar"/>
              </w:rPr>
            </w:pPr>
            <w:r w:rsidRPr="0013000B">
              <w:rPr>
                <w:rFonts w:asciiTheme="minorEastAsia" w:eastAsiaTheme="minorEastAsia" w:hAnsiTheme="minorEastAsia" w:cs="楷体" w:hint="eastAsia"/>
                <w:sz w:val="24"/>
                <w:szCs w:val="24"/>
                <w:lang w:bidi="ar"/>
              </w:rPr>
              <w:t>目标业务是麦格纳液体气压和控制业务的一部分，该业务专门从事机械和电动水泵和其他部件的设计，制造和供应。目标业务为汽车制造商提供冷却和泵技术，以支持原始设备制造商的减排和热管理需求。</w:t>
            </w:r>
          </w:p>
        </w:tc>
      </w:tr>
      <w:tr w:rsidR="00157EED" w:rsidRPr="0088530B">
        <w:trPr>
          <w:trHeight w:val="279"/>
        </w:trPr>
        <w:tc>
          <w:tcPr>
            <w:tcW w:w="1809" w:type="dxa"/>
            <w:vMerge w:val="restart"/>
            <w:shd w:val="clear" w:color="auto" w:fill="D9D9D9"/>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简易案件理由（可以单选，也可以多选）</w:t>
            </w:r>
          </w:p>
        </w:tc>
        <w:tc>
          <w:tcPr>
            <w:tcW w:w="6949" w:type="dxa"/>
            <w:gridSpan w:val="2"/>
          </w:tcPr>
          <w:p w:rsidR="00E94D94" w:rsidRPr="0088530B" w:rsidRDefault="00B06F32">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w:t>
            </w:r>
            <w:r w:rsidR="00C45095" w:rsidRPr="0088530B">
              <w:rPr>
                <w:rFonts w:asciiTheme="minorEastAsia" w:eastAsiaTheme="minorEastAsia" w:hAnsiTheme="minorEastAsia" w:hint="eastAsia"/>
                <w:sz w:val="24"/>
                <w:szCs w:val="24"/>
              </w:rPr>
              <w:t>1、在同一相关市场，所有参与集中的经营者所占市场份额之和小于</w:t>
            </w:r>
            <w:r w:rsidR="00C45095" w:rsidRPr="0088530B">
              <w:rPr>
                <w:rFonts w:asciiTheme="minorEastAsia" w:eastAsiaTheme="minorEastAsia" w:hAnsiTheme="minorEastAsia"/>
                <w:sz w:val="24"/>
                <w:szCs w:val="24"/>
              </w:rPr>
              <w:t>15%</w:t>
            </w:r>
            <w:r w:rsidR="00C45095" w:rsidRPr="0088530B">
              <w:rPr>
                <w:rFonts w:asciiTheme="minorEastAsia" w:eastAsiaTheme="minorEastAsia" w:hAnsiTheme="minorEastAsia" w:hint="eastAsia"/>
                <w:sz w:val="24"/>
                <w:szCs w:val="24"/>
              </w:rPr>
              <w:t>。</w:t>
            </w:r>
          </w:p>
        </w:tc>
      </w:tr>
      <w:tr w:rsidR="00157EED" w:rsidRPr="0088530B">
        <w:trPr>
          <w:trHeight w:val="330"/>
        </w:trPr>
        <w:tc>
          <w:tcPr>
            <w:tcW w:w="1809" w:type="dxa"/>
            <w:vMerge/>
            <w:shd w:val="clear" w:color="auto" w:fill="D9D9D9"/>
          </w:tcPr>
          <w:p w:rsidR="00E94D94" w:rsidRPr="0088530B" w:rsidRDefault="00E94D94">
            <w:pPr>
              <w:spacing w:line="500" w:lineRule="exact"/>
              <w:rPr>
                <w:rFonts w:asciiTheme="minorEastAsia" w:eastAsiaTheme="minorEastAsia" w:hAnsiTheme="minorEastAsia"/>
                <w:sz w:val="24"/>
                <w:szCs w:val="24"/>
              </w:rPr>
            </w:pPr>
          </w:p>
        </w:tc>
        <w:tc>
          <w:tcPr>
            <w:tcW w:w="6949" w:type="dxa"/>
            <w:gridSpan w:val="2"/>
          </w:tcPr>
          <w:p w:rsidR="00E94D94" w:rsidRPr="0088530B" w:rsidRDefault="002355AF">
            <w:pPr>
              <w:spacing w:line="500" w:lineRule="exact"/>
              <w:rPr>
                <w:rFonts w:asciiTheme="minorEastAsia" w:eastAsiaTheme="minorEastAsia" w:hAnsiTheme="minorEastAsia"/>
                <w:sz w:val="24"/>
                <w:szCs w:val="24"/>
              </w:rPr>
            </w:pPr>
            <w:r w:rsidRPr="0088530B">
              <w:rPr>
                <w:rFonts w:asciiTheme="minorEastAsia" w:eastAsiaTheme="minorEastAsia" w:hAnsiTheme="minorEastAsia"/>
                <w:sz w:val="24"/>
                <w:szCs w:val="24"/>
              </w:rPr>
              <w:sym w:font="Wingdings" w:char="F0FE"/>
            </w:r>
            <w:r w:rsidR="00C45095" w:rsidRPr="0088530B">
              <w:rPr>
                <w:rFonts w:asciiTheme="minorEastAsia" w:eastAsiaTheme="minorEastAsia" w:hAnsiTheme="minorEastAsia" w:hint="eastAsia"/>
                <w:sz w:val="24"/>
                <w:szCs w:val="24"/>
              </w:rPr>
              <w:t>2、存在上下游关系的参与集中的经营者，在上下游市场所占的市场份额均小于25%。</w:t>
            </w:r>
          </w:p>
        </w:tc>
      </w:tr>
      <w:tr w:rsidR="00157EED" w:rsidRPr="0088530B">
        <w:trPr>
          <w:trHeight w:val="285"/>
        </w:trPr>
        <w:tc>
          <w:tcPr>
            <w:tcW w:w="1809" w:type="dxa"/>
            <w:vMerge/>
            <w:shd w:val="clear" w:color="auto" w:fill="D9D9D9"/>
          </w:tcPr>
          <w:p w:rsidR="00E94D94" w:rsidRPr="0088530B" w:rsidRDefault="00E94D94">
            <w:pPr>
              <w:spacing w:line="500" w:lineRule="exact"/>
              <w:rPr>
                <w:rFonts w:asciiTheme="minorEastAsia" w:eastAsiaTheme="minorEastAsia" w:hAnsiTheme="minorEastAsia"/>
                <w:sz w:val="24"/>
                <w:szCs w:val="24"/>
              </w:rPr>
            </w:pPr>
          </w:p>
        </w:tc>
        <w:tc>
          <w:tcPr>
            <w:tcW w:w="6949" w:type="dxa"/>
            <w:gridSpan w:val="2"/>
          </w:tcPr>
          <w:p w:rsidR="00E94D94" w:rsidRPr="0088530B" w:rsidRDefault="002355AF">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w:t>
            </w:r>
            <w:r w:rsidR="00C45095" w:rsidRPr="0088530B">
              <w:rPr>
                <w:rFonts w:asciiTheme="minorEastAsia" w:eastAsiaTheme="minorEastAsia" w:hAnsiTheme="minorEastAsia" w:hint="eastAsia"/>
                <w:sz w:val="24"/>
                <w:szCs w:val="24"/>
              </w:rPr>
              <w:t>3、不在同一相关市场、也不存在上下游关系的参与集中的经营者，在与交易有关的每个市场所占的份额均小于25%。</w:t>
            </w:r>
          </w:p>
        </w:tc>
      </w:tr>
      <w:tr w:rsidR="00157EED" w:rsidRPr="0088530B">
        <w:trPr>
          <w:trHeight w:val="870"/>
        </w:trPr>
        <w:tc>
          <w:tcPr>
            <w:tcW w:w="1809" w:type="dxa"/>
            <w:vMerge/>
            <w:shd w:val="clear" w:color="auto" w:fill="D9D9D9"/>
          </w:tcPr>
          <w:p w:rsidR="00E94D94" w:rsidRPr="0088530B" w:rsidRDefault="00E94D94">
            <w:pPr>
              <w:spacing w:line="500" w:lineRule="exact"/>
              <w:rPr>
                <w:rFonts w:asciiTheme="minorEastAsia" w:eastAsiaTheme="minorEastAsia" w:hAnsiTheme="minorEastAsia"/>
                <w:sz w:val="24"/>
                <w:szCs w:val="24"/>
              </w:rPr>
            </w:pPr>
          </w:p>
        </w:tc>
        <w:tc>
          <w:tcPr>
            <w:tcW w:w="6949" w:type="dxa"/>
            <w:gridSpan w:val="2"/>
          </w:tcPr>
          <w:p w:rsidR="00E94D94" w:rsidRPr="0088530B" w:rsidRDefault="0093311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w:t>
            </w:r>
            <w:r w:rsidR="00C45095" w:rsidRPr="0088530B">
              <w:rPr>
                <w:rFonts w:asciiTheme="minorEastAsia" w:eastAsiaTheme="minorEastAsia" w:hAnsiTheme="minorEastAsia" w:hint="eastAsia"/>
                <w:sz w:val="24"/>
                <w:szCs w:val="24"/>
              </w:rPr>
              <w:t>4、参与集中的经营者在中国境外设立合营企业，合营企业不在中国境内从事经济活动。</w:t>
            </w:r>
          </w:p>
        </w:tc>
      </w:tr>
      <w:tr w:rsidR="00157EED" w:rsidRPr="0088530B">
        <w:trPr>
          <w:trHeight w:val="264"/>
        </w:trPr>
        <w:tc>
          <w:tcPr>
            <w:tcW w:w="1809" w:type="dxa"/>
            <w:vMerge/>
            <w:shd w:val="clear" w:color="auto" w:fill="D9D9D9"/>
          </w:tcPr>
          <w:p w:rsidR="00E94D94" w:rsidRPr="0088530B" w:rsidRDefault="00E94D94">
            <w:pPr>
              <w:spacing w:line="500" w:lineRule="exact"/>
              <w:rPr>
                <w:rFonts w:asciiTheme="minorEastAsia" w:eastAsiaTheme="minorEastAsia" w:hAnsiTheme="minorEastAsia"/>
                <w:sz w:val="24"/>
                <w:szCs w:val="24"/>
              </w:rPr>
            </w:pPr>
          </w:p>
        </w:tc>
        <w:tc>
          <w:tcPr>
            <w:tcW w:w="6949" w:type="dxa"/>
            <w:gridSpan w:val="2"/>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□5、参与集中的经营者收购境外企业股权或资产的，该境外企业不在中国境内从事经济活动。</w:t>
            </w:r>
          </w:p>
        </w:tc>
      </w:tr>
      <w:tr w:rsidR="00157EED" w:rsidRPr="0088530B">
        <w:trPr>
          <w:trHeight w:val="345"/>
        </w:trPr>
        <w:tc>
          <w:tcPr>
            <w:tcW w:w="1809" w:type="dxa"/>
            <w:vMerge/>
            <w:shd w:val="clear" w:color="auto" w:fill="D9D9D9"/>
          </w:tcPr>
          <w:p w:rsidR="00E94D94" w:rsidRPr="0088530B" w:rsidRDefault="00E94D94">
            <w:pPr>
              <w:spacing w:line="500" w:lineRule="exact"/>
              <w:rPr>
                <w:rFonts w:asciiTheme="minorEastAsia" w:eastAsiaTheme="minorEastAsia" w:hAnsiTheme="minorEastAsia"/>
                <w:sz w:val="24"/>
                <w:szCs w:val="24"/>
              </w:rPr>
            </w:pPr>
          </w:p>
        </w:tc>
        <w:tc>
          <w:tcPr>
            <w:tcW w:w="6949" w:type="dxa"/>
            <w:gridSpan w:val="2"/>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□6、由两个以上的经营者共同控制的合营企业，通过集中被其中一个或一个以上经营者控制。</w:t>
            </w:r>
          </w:p>
        </w:tc>
      </w:tr>
      <w:tr w:rsidR="00157EED" w:rsidRPr="0088530B">
        <w:tc>
          <w:tcPr>
            <w:tcW w:w="1809" w:type="dxa"/>
            <w:shd w:val="clear" w:color="auto" w:fill="D9D9D9"/>
          </w:tcPr>
          <w:p w:rsidR="00E94D94" w:rsidRPr="0088530B" w:rsidRDefault="00C45095">
            <w:pPr>
              <w:spacing w:line="500" w:lineRule="exac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备注</w:t>
            </w:r>
          </w:p>
        </w:tc>
        <w:tc>
          <w:tcPr>
            <w:tcW w:w="6949" w:type="dxa"/>
            <w:gridSpan w:val="2"/>
          </w:tcPr>
          <w:p w:rsidR="001A0F1B" w:rsidRPr="00B06F32" w:rsidRDefault="00933115" w:rsidP="00B06F32">
            <w:pPr>
              <w:spacing w:beforeLines="50" w:before="156" w:afterLines="50" w:after="156"/>
              <w:rPr>
                <w:rFonts w:asciiTheme="minorEastAsia" w:eastAsiaTheme="minorEastAsia" w:hAnsiTheme="minorEastAsia"/>
                <w:b/>
                <w:sz w:val="24"/>
                <w:szCs w:val="24"/>
                <w:u w:val="single"/>
              </w:rPr>
            </w:pPr>
            <w:r w:rsidRPr="001B2E54">
              <w:rPr>
                <w:rFonts w:asciiTheme="minorEastAsia" w:eastAsiaTheme="minorEastAsia" w:hAnsiTheme="minorEastAsia" w:hint="eastAsia"/>
                <w:b/>
                <w:sz w:val="24"/>
                <w:szCs w:val="24"/>
                <w:u w:val="single"/>
              </w:rPr>
              <w:t>相关产品市场</w:t>
            </w:r>
            <w:bookmarkStart w:id="1" w:name="_DV_C164"/>
          </w:p>
          <w:bookmarkEnd w:id="1"/>
          <w:p w:rsidR="00A65013" w:rsidRPr="001A0F1B" w:rsidRDefault="00A65013" w:rsidP="00A65013">
            <w:pPr>
              <w:pStyle w:val="af"/>
              <w:numPr>
                <w:ilvl w:val="0"/>
                <w:numId w:val="7"/>
              </w:numPr>
              <w:spacing w:beforeLines="50" w:before="156" w:afterLines="50" w:after="156"/>
              <w:ind w:firstLineChars="0"/>
              <w:rPr>
                <w:rFonts w:asciiTheme="minorEastAsia" w:hAnsiTheme="minorEastAsia"/>
                <w:b/>
                <w:sz w:val="24"/>
                <w:szCs w:val="24"/>
                <w:lang w:val="en-GB"/>
              </w:rPr>
            </w:pPr>
            <w:r w:rsidRPr="001A0F1B">
              <w:rPr>
                <w:rFonts w:asciiTheme="minorEastAsia" w:hAnsiTheme="minorEastAsia" w:hint="eastAsia"/>
                <w:b/>
                <w:sz w:val="24"/>
                <w:szCs w:val="24"/>
                <w:lang w:val="en-GB"/>
              </w:rPr>
              <w:t>纵向</w:t>
            </w:r>
            <w:r w:rsidR="00EF652D">
              <w:rPr>
                <w:rFonts w:asciiTheme="minorEastAsia" w:hAnsiTheme="minorEastAsia" w:hint="eastAsia"/>
                <w:b/>
                <w:sz w:val="24"/>
                <w:szCs w:val="24"/>
                <w:lang w:val="en-GB"/>
              </w:rPr>
              <w:t>关系</w:t>
            </w:r>
          </w:p>
          <w:p w:rsidR="00A65013" w:rsidRPr="0088530B" w:rsidRDefault="00B06F32" w:rsidP="00B06F32">
            <w:pPr>
              <w:pStyle w:val="af"/>
              <w:numPr>
                <w:ilvl w:val="0"/>
                <w:numId w:val="3"/>
              </w:numPr>
              <w:spacing w:beforeLines="50" w:before="156" w:afterLines="50" w:after="156"/>
              <w:ind w:firstLineChars="0"/>
              <w:rPr>
                <w:rFonts w:asciiTheme="minorEastAsia" w:hAnsiTheme="minorEastAsia"/>
                <w:sz w:val="24"/>
                <w:szCs w:val="24"/>
                <w:lang w:val="en-GB"/>
              </w:rPr>
            </w:pPr>
            <w:r w:rsidRPr="00B06F32">
              <w:rPr>
                <w:rFonts w:asciiTheme="minorEastAsia" w:hAnsiTheme="minorEastAsia" w:hint="eastAsia"/>
                <w:sz w:val="24"/>
                <w:szCs w:val="24"/>
                <w:lang w:val="en-GB"/>
              </w:rPr>
              <w:lastRenderedPageBreak/>
              <w:t>乘用车和轻型商用车用电动冷却风扇</w:t>
            </w:r>
            <w:r w:rsidR="00EA08FA">
              <w:rPr>
                <w:rFonts w:asciiTheme="minorEastAsia" w:hAnsiTheme="minorEastAsia" w:hint="eastAsia"/>
                <w:sz w:val="24"/>
                <w:szCs w:val="24"/>
                <w:lang w:val="en-GB"/>
              </w:rPr>
              <w:t>的</w:t>
            </w:r>
            <w:r w:rsidRPr="00B06F32">
              <w:rPr>
                <w:rFonts w:asciiTheme="minorEastAsia" w:hAnsiTheme="minorEastAsia" w:hint="eastAsia"/>
                <w:sz w:val="24"/>
                <w:szCs w:val="24"/>
                <w:lang w:val="en-GB"/>
              </w:rPr>
              <w:t>电机</w:t>
            </w:r>
            <w:r w:rsidR="00EF652D" w:rsidRPr="00EF652D">
              <w:rPr>
                <w:rFonts w:asciiTheme="minorEastAsia" w:hAnsiTheme="minorEastAsia" w:hint="eastAsia"/>
                <w:sz w:val="24"/>
                <w:szCs w:val="24"/>
                <w:lang w:val="en-GB"/>
              </w:rPr>
              <w:t>（上游产品）</w:t>
            </w:r>
          </w:p>
          <w:p w:rsidR="00EF652D" w:rsidRPr="000B62EF" w:rsidRDefault="00EF652D" w:rsidP="000B62EF">
            <w:pPr>
              <w:pStyle w:val="af"/>
              <w:numPr>
                <w:ilvl w:val="0"/>
                <w:numId w:val="3"/>
              </w:numPr>
              <w:spacing w:beforeLines="50" w:before="156" w:afterLines="50" w:after="156"/>
              <w:ind w:firstLineChars="0"/>
              <w:rPr>
                <w:rFonts w:asciiTheme="minorEastAsia" w:hAnsiTheme="minorEastAsia"/>
                <w:sz w:val="24"/>
                <w:szCs w:val="24"/>
                <w:lang w:val="en-GB"/>
              </w:rPr>
            </w:pPr>
            <w:r w:rsidRPr="00EF652D">
              <w:rPr>
                <w:rFonts w:asciiTheme="minorEastAsia" w:hAnsiTheme="minorEastAsia" w:hint="eastAsia"/>
                <w:sz w:val="24"/>
                <w:szCs w:val="24"/>
                <w:lang w:val="en-GB"/>
              </w:rPr>
              <w:t>乘用车和轻型商用车用</w:t>
            </w:r>
            <w:r w:rsidR="00B06F32">
              <w:rPr>
                <w:rFonts w:asciiTheme="minorEastAsia" w:hAnsiTheme="minorEastAsia" w:hint="eastAsia"/>
                <w:sz w:val="24"/>
                <w:szCs w:val="24"/>
                <w:lang w:val="en-GB"/>
              </w:rPr>
              <w:t>电动冷却风扇</w:t>
            </w:r>
            <w:r w:rsidRPr="00EF652D">
              <w:rPr>
                <w:rFonts w:asciiTheme="minorEastAsia" w:hAnsiTheme="minorEastAsia" w:hint="eastAsia"/>
                <w:sz w:val="24"/>
                <w:szCs w:val="24"/>
                <w:lang w:val="en-GB"/>
              </w:rPr>
              <w:t>（下游产品）</w:t>
            </w:r>
          </w:p>
          <w:p w:rsidR="00EF652D" w:rsidRPr="0088530B" w:rsidRDefault="0016705B" w:rsidP="00933115">
            <w:pPr>
              <w:spacing w:beforeLines="50" w:before="156" w:afterLines="50" w:after="156"/>
              <w:rPr>
                <w:rFonts w:asciiTheme="minorEastAsia" w:eastAsiaTheme="minorEastAsia" w:hAnsiTheme="minorEastAsia"/>
                <w:b/>
                <w:sz w:val="24"/>
                <w:szCs w:val="24"/>
              </w:rPr>
            </w:pPr>
            <w:r w:rsidRPr="001B2E54">
              <w:rPr>
                <w:rFonts w:asciiTheme="minorEastAsia" w:eastAsiaTheme="minorEastAsia" w:hAnsiTheme="minorEastAsia" w:hint="eastAsia"/>
                <w:b/>
                <w:sz w:val="24"/>
                <w:szCs w:val="24"/>
                <w:u w:val="single"/>
              </w:rPr>
              <w:t>相关地域市场：</w:t>
            </w:r>
            <w:r w:rsidR="00EF652D" w:rsidRPr="00EF652D">
              <w:rPr>
                <w:rFonts w:asciiTheme="minorEastAsia" w:eastAsiaTheme="minorEastAsia" w:hAnsiTheme="minorEastAsia" w:hint="eastAsia"/>
                <w:sz w:val="24"/>
                <w:szCs w:val="24"/>
              </w:rPr>
              <w:t>国别（中国）市场</w:t>
            </w:r>
          </w:p>
          <w:p w:rsidR="0016705B" w:rsidRPr="001B2E54" w:rsidRDefault="0016705B" w:rsidP="00933115">
            <w:pPr>
              <w:spacing w:beforeLines="50" w:before="156" w:afterLines="50" w:after="156"/>
              <w:rPr>
                <w:rFonts w:asciiTheme="minorEastAsia" w:eastAsiaTheme="minorEastAsia" w:hAnsiTheme="minorEastAsia"/>
                <w:b/>
                <w:sz w:val="24"/>
                <w:szCs w:val="24"/>
                <w:u w:val="single"/>
              </w:rPr>
            </w:pPr>
            <w:r w:rsidRPr="001B2E54">
              <w:rPr>
                <w:rFonts w:asciiTheme="minorEastAsia" w:eastAsiaTheme="minorEastAsia" w:hAnsiTheme="minorEastAsia" w:hint="eastAsia"/>
                <w:b/>
                <w:sz w:val="24"/>
                <w:szCs w:val="24"/>
                <w:u w:val="single"/>
              </w:rPr>
              <w:t>交易双方在相关地域市场的市场份额</w:t>
            </w:r>
          </w:p>
          <w:p w:rsidR="0016705B" w:rsidRPr="0088530B" w:rsidRDefault="00891AC9" w:rsidP="00891AC9">
            <w:pPr>
              <w:pStyle w:val="af"/>
              <w:numPr>
                <w:ilvl w:val="0"/>
                <w:numId w:val="12"/>
              </w:numPr>
              <w:spacing w:beforeLines="50" w:before="156" w:afterLines="50" w:after="156"/>
              <w:ind w:firstLineChars="0"/>
              <w:rPr>
                <w:rFonts w:asciiTheme="minorEastAsia" w:hAnsiTheme="minorEastAsia"/>
                <w:sz w:val="24"/>
                <w:szCs w:val="24"/>
                <w:lang w:val="en-GB"/>
              </w:rPr>
            </w:pPr>
            <w:r w:rsidRPr="00891AC9">
              <w:rPr>
                <w:rFonts w:asciiTheme="minorEastAsia" w:hAnsiTheme="minorEastAsia" w:hint="eastAsia"/>
                <w:sz w:val="24"/>
                <w:szCs w:val="24"/>
                <w:lang w:val="en-GB"/>
              </w:rPr>
              <w:t>乘用车和轻型商用车用电动冷却风扇</w:t>
            </w:r>
            <w:r w:rsidR="00EA08FA">
              <w:rPr>
                <w:rFonts w:asciiTheme="minorEastAsia" w:hAnsiTheme="minorEastAsia" w:hint="eastAsia"/>
                <w:sz w:val="24"/>
                <w:szCs w:val="24"/>
                <w:lang w:val="en-GB"/>
              </w:rPr>
              <w:t>的</w:t>
            </w:r>
            <w:r w:rsidRPr="00891AC9">
              <w:rPr>
                <w:rFonts w:asciiTheme="minorEastAsia" w:hAnsiTheme="minorEastAsia" w:hint="eastAsia"/>
                <w:sz w:val="24"/>
                <w:szCs w:val="24"/>
                <w:lang w:val="en-GB"/>
              </w:rPr>
              <w:t>电机（上游产品）</w:t>
            </w:r>
          </w:p>
          <w:p w:rsidR="0016705B" w:rsidRPr="0088530B" w:rsidRDefault="00EF652D" w:rsidP="00ED142C">
            <w:pPr>
              <w:pStyle w:val="af"/>
              <w:numPr>
                <w:ilvl w:val="0"/>
                <w:numId w:val="5"/>
              </w:numPr>
              <w:spacing w:beforeLines="50" w:before="156" w:afterLines="50" w:after="156"/>
              <w:ind w:firstLineChars="0"/>
              <w:rPr>
                <w:rFonts w:asciiTheme="minorEastAsia" w:hAnsiTheme="minorEastAsia" w:cs="Times New Roman"/>
                <w:sz w:val="24"/>
                <w:szCs w:val="24"/>
                <w:lang w:val="en-GB"/>
              </w:rPr>
            </w:pPr>
            <w:r>
              <w:rPr>
                <w:rFonts w:asciiTheme="minorEastAsia" w:hAnsiTheme="minorEastAsia" w:cs="Times New Roman"/>
                <w:sz w:val="24"/>
                <w:szCs w:val="24"/>
                <w:lang w:val="en-GB"/>
              </w:rPr>
              <w:t>目标业务</w:t>
            </w:r>
            <w:r w:rsidR="00FC17EA" w:rsidRPr="0088530B">
              <w:rPr>
                <w:rFonts w:asciiTheme="minorEastAsia" w:hAnsiTheme="minorEastAsia" w:cs="Times New Roman"/>
                <w:sz w:val="24"/>
                <w:szCs w:val="24"/>
                <w:lang w:val="en-GB"/>
              </w:rPr>
              <w:t>：</w:t>
            </w:r>
            <w:r w:rsidR="00ED142C" w:rsidRPr="0088530B">
              <w:rPr>
                <w:rFonts w:asciiTheme="minorEastAsia" w:hAnsiTheme="minorEastAsia" w:cs="Times New Roman"/>
                <w:sz w:val="24"/>
                <w:szCs w:val="24"/>
                <w:lang w:val="en-GB"/>
              </w:rPr>
              <w:t>[0-5]%</w:t>
            </w:r>
          </w:p>
          <w:p w:rsidR="0016705B" w:rsidRPr="0088530B" w:rsidRDefault="00650E4A" w:rsidP="00650E4A">
            <w:pPr>
              <w:pStyle w:val="af"/>
              <w:numPr>
                <w:ilvl w:val="0"/>
                <w:numId w:val="12"/>
              </w:numPr>
              <w:spacing w:beforeLines="50" w:before="156" w:afterLines="50" w:after="156"/>
              <w:ind w:firstLineChars="0"/>
              <w:rPr>
                <w:rFonts w:asciiTheme="minorEastAsia" w:hAnsiTheme="minorEastAsia"/>
                <w:sz w:val="24"/>
                <w:szCs w:val="24"/>
                <w:lang w:val="en-GB"/>
              </w:rPr>
            </w:pPr>
            <w:r w:rsidRPr="00650E4A">
              <w:rPr>
                <w:rFonts w:asciiTheme="minorEastAsia" w:hAnsiTheme="minorEastAsia" w:hint="eastAsia"/>
                <w:sz w:val="24"/>
                <w:szCs w:val="24"/>
                <w:lang w:val="en-GB"/>
              </w:rPr>
              <w:t>乘用车和轻型商用车用电动冷却风扇（下游产品）</w:t>
            </w:r>
          </w:p>
          <w:p w:rsidR="00E94D94" w:rsidRPr="00002798" w:rsidRDefault="00650E4A" w:rsidP="00002798">
            <w:pPr>
              <w:pStyle w:val="af"/>
              <w:numPr>
                <w:ilvl w:val="0"/>
                <w:numId w:val="14"/>
              </w:numPr>
              <w:spacing w:beforeLines="50" w:before="156" w:afterLines="50" w:after="156"/>
              <w:ind w:firstLineChars="0"/>
              <w:rPr>
                <w:rFonts w:asciiTheme="minorEastAsia" w:hAnsiTheme="minorEastAsia" w:cs="Times New Roman"/>
                <w:sz w:val="24"/>
                <w:szCs w:val="24"/>
                <w:lang w:val="en-GB"/>
              </w:rPr>
            </w:pPr>
            <w:r>
              <w:rPr>
                <w:rFonts w:asciiTheme="minorEastAsia" w:hAnsiTheme="minorEastAsia" w:cs="Times New Roman" w:hint="eastAsia"/>
                <w:sz w:val="24"/>
                <w:szCs w:val="24"/>
                <w:lang w:val="en-GB"/>
              </w:rPr>
              <w:t>翰昂</w:t>
            </w:r>
            <w:r w:rsidR="00FC17EA" w:rsidRPr="0088530B">
              <w:rPr>
                <w:rFonts w:asciiTheme="minorEastAsia" w:hAnsiTheme="minorEastAsia" w:cs="Times New Roman"/>
                <w:sz w:val="24"/>
                <w:szCs w:val="24"/>
                <w:lang w:val="en-GB"/>
              </w:rPr>
              <w:t>：</w:t>
            </w:r>
            <w:r w:rsidR="00EF652D" w:rsidRPr="00650E4A">
              <w:rPr>
                <w:rFonts w:asciiTheme="minorEastAsia" w:hAnsiTheme="minorEastAsia" w:cs="Times New Roman"/>
                <w:sz w:val="24"/>
                <w:szCs w:val="24"/>
                <w:lang w:val="en-GB"/>
              </w:rPr>
              <w:t>[</w:t>
            </w:r>
            <w:r w:rsidRPr="00650E4A">
              <w:rPr>
                <w:rFonts w:asciiTheme="minorEastAsia" w:hAnsiTheme="minorEastAsia" w:cs="Times New Roman" w:hint="eastAsia"/>
                <w:sz w:val="24"/>
                <w:szCs w:val="24"/>
                <w:lang w:val="en-GB"/>
              </w:rPr>
              <w:t>0-5</w:t>
            </w:r>
            <w:r w:rsidR="00A642AB" w:rsidRPr="00650E4A">
              <w:rPr>
                <w:rFonts w:asciiTheme="minorEastAsia" w:hAnsiTheme="minorEastAsia" w:cs="Times New Roman"/>
                <w:sz w:val="24"/>
                <w:szCs w:val="24"/>
                <w:lang w:val="en-GB"/>
              </w:rPr>
              <w:t>]%</w:t>
            </w:r>
          </w:p>
        </w:tc>
      </w:tr>
    </w:tbl>
    <w:p w:rsidR="00E94D94" w:rsidRPr="0088530B" w:rsidRDefault="00E94D94">
      <w:pPr>
        <w:snapToGrid w:val="0"/>
        <w:spacing w:line="240" w:lineRule="exact"/>
        <w:jc w:val="left"/>
        <w:rPr>
          <w:rFonts w:asciiTheme="minorEastAsia" w:eastAsiaTheme="minorEastAsia" w:hAnsiTheme="minorEastAsia"/>
          <w:sz w:val="24"/>
          <w:szCs w:val="24"/>
        </w:rPr>
      </w:pPr>
    </w:p>
    <w:p w:rsidR="00E94D94" w:rsidRPr="0088530B" w:rsidRDefault="00C45095">
      <w:pPr>
        <w:snapToGrid w:val="0"/>
        <w:spacing w:line="240" w:lineRule="exact"/>
        <w:jc w:val="left"/>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注解：</w:t>
      </w:r>
    </w:p>
    <w:p w:rsidR="00E94D94" w:rsidRPr="0088530B" w:rsidRDefault="00C45095">
      <w:pPr>
        <w:snapToGrid w:val="0"/>
        <w:spacing w:line="360" w:lineRule="auto"/>
        <w:ind w:firstLineChars="200" w:firstLine="480"/>
        <w:jc w:val="left"/>
        <w:rPr>
          <w:rFonts w:asciiTheme="minorEastAsia" w:eastAsiaTheme="minorEastAsia" w:hAnsiTheme="minorEastAsia"/>
          <w:sz w:val="24"/>
          <w:szCs w:val="24"/>
        </w:rPr>
      </w:pPr>
      <w:r w:rsidRPr="0088530B">
        <w:rPr>
          <w:rFonts w:asciiTheme="minorEastAsia" w:eastAsiaTheme="minorEastAsia" w:hAnsiTheme="minorEastAsia"/>
          <w:sz w:val="24"/>
          <w:szCs w:val="24"/>
        </w:rPr>
        <w:t>1</w:t>
      </w:r>
      <w:r w:rsidRPr="0088530B">
        <w:rPr>
          <w:rFonts w:asciiTheme="minorEastAsia" w:eastAsiaTheme="minorEastAsia" w:hAnsiTheme="minorEastAsia"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E94D94" w:rsidRPr="0088530B" w:rsidRDefault="00C45095">
      <w:pPr>
        <w:spacing w:line="360" w:lineRule="auto"/>
        <w:ind w:firstLineChars="200" w:firstLine="480"/>
        <w:rPr>
          <w:rFonts w:asciiTheme="minorEastAsia" w:eastAsiaTheme="minorEastAsia" w:hAnsiTheme="minorEastAsia"/>
          <w:sz w:val="24"/>
          <w:szCs w:val="24"/>
        </w:rPr>
      </w:pPr>
      <w:r w:rsidRPr="0088530B">
        <w:rPr>
          <w:rFonts w:asciiTheme="minorEastAsia" w:eastAsiaTheme="minorEastAsia" w:hAnsiTheme="minorEastAsia" w:hint="eastAsia"/>
          <w:sz w:val="24"/>
          <w:szCs w:val="24"/>
        </w:rPr>
        <w:t>2、申报方申请简易案件的理由是基于第4项、第5项时，无须在备注中说明相关市场和市场份额。</w:t>
      </w:r>
      <w:r w:rsidRPr="0088530B">
        <w:rPr>
          <w:rFonts w:asciiTheme="minorEastAsia" w:eastAsiaTheme="minorEastAsia" w:hAnsiTheme="minorEastAsia"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E94D94" w:rsidRPr="0088530B" w:rsidRDefault="00E94D94">
      <w:pPr>
        <w:rPr>
          <w:rFonts w:asciiTheme="minorEastAsia" w:eastAsiaTheme="minorEastAsia" w:hAnsiTheme="minorEastAsia"/>
          <w:sz w:val="24"/>
          <w:szCs w:val="24"/>
        </w:rPr>
      </w:pPr>
    </w:p>
    <w:sectPr w:rsidR="00E94D94" w:rsidRPr="008853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30DA" w:rsidRDefault="007830DA" w:rsidP="00DA1AE6">
      <w:r>
        <w:separator/>
      </w:r>
    </w:p>
  </w:endnote>
  <w:endnote w:type="continuationSeparator" w:id="0">
    <w:p w:rsidR="007830DA" w:rsidRDefault="007830DA" w:rsidP="00DA1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30DA" w:rsidRDefault="007830DA" w:rsidP="00DA1AE6">
      <w:r>
        <w:separator/>
      </w:r>
    </w:p>
  </w:footnote>
  <w:footnote w:type="continuationSeparator" w:id="0">
    <w:p w:rsidR="007830DA" w:rsidRDefault="007830DA" w:rsidP="00DA1AE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D43634"/>
    <w:multiLevelType w:val="singleLevel"/>
    <w:tmpl w:val="A2D43634"/>
    <w:lvl w:ilvl="0">
      <w:start w:val="1"/>
      <w:numFmt w:val="bullet"/>
      <w:lvlText w:val=""/>
      <w:lvlJc w:val="left"/>
      <w:pPr>
        <w:ind w:left="420" w:hanging="420"/>
      </w:pPr>
      <w:rPr>
        <w:rFonts w:ascii="Wingdings" w:hAnsi="Wingdings" w:hint="default"/>
      </w:rPr>
    </w:lvl>
  </w:abstractNum>
  <w:abstractNum w:abstractNumId="1">
    <w:nsid w:val="0AD23E35"/>
    <w:multiLevelType w:val="hybridMultilevel"/>
    <w:tmpl w:val="58F89F32"/>
    <w:lvl w:ilvl="0" w:tplc="F3E2A7D4">
      <w:start w:val="1"/>
      <w:numFmt w:val="upperRoman"/>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nsid w:val="0AD8353B"/>
    <w:multiLevelType w:val="hybridMultilevel"/>
    <w:tmpl w:val="90F0C3A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3">
    <w:nsid w:val="0D4655E7"/>
    <w:multiLevelType w:val="hybridMultilevel"/>
    <w:tmpl w:val="187EFC5A"/>
    <w:lvl w:ilvl="0" w:tplc="ABDC9EF4">
      <w:start w:val="1"/>
      <w:numFmt w:val="decimal"/>
      <w:lvlText w:val="(%1)"/>
      <w:lvlJc w:val="left"/>
      <w:pPr>
        <w:ind w:left="420" w:hanging="420"/>
      </w:pPr>
      <w:rPr>
        <w:rFonts w:ascii="Times New Roman" w:hAnsi="Times New Roman" w:cs="Times New Roman" w:hint="default"/>
        <w:sz w:val="24"/>
        <w:szCs w:val="24"/>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4">
    <w:nsid w:val="11CB4433"/>
    <w:multiLevelType w:val="hybridMultilevel"/>
    <w:tmpl w:val="2F1E215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19712E51"/>
    <w:multiLevelType w:val="hybridMultilevel"/>
    <w:tmpl w:val="C93C75E0"/>
    <w:lvl w:ilvl="0" w:tplc="80DAC6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3785E0D"/>
    <w:multiLevelType w:val="hybridMultilevel"/>
    <w:tmpl w:val="CD4C5742"/>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2B3727A6"/>
    <w:multiLevelType w:val="hybridMultilevel"/>
    <w:tmpl w:val="ECCC10BA"/>
    <w:lvl w:ilvl="0" w:tplc="EE26AE18">
      <w:start w:val="1"/>
      <w:numFmt w:val="bullet"/>
      <w:lvlText w:val=""/>
      <w:lvlJc w:val="left"/>
      <w:pPr>
        <w:ind w:left="840" w:hanging="420"/>
      </w:pPr>
      <w:rPr>
        <w:rFonts w:ascii="Wingdings" w:hAnsi="Wingdings" w:hint="default"/>
        <w:color w:val="auto"/>
        <w:sz w:val="13"/>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8">
    <w:nsid w:val="2DEC6B6B"/>
    <w:multiLevelType w:val="hybridMultilevel"/>
    <w:tmpl w:val="6E42566E"/>
    <w:lvl w:ilvl="0" w:tplc="2192274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7352EFB"/>
    <w:multiLevelType w:val="hybridMultilevel"/>
    <w:tmpl w:val="9A449758"/>
    <w:lvl w:ilvl="0" w:tplc="B2BC7312">
      <w:start w:val="1"/>
      <w:numFmt w:val="decimal"/>
      <w:lvlText w:val="（%1）"/>
      <w:lvlJc w:val="left"/>
      <w:pPr>
        <w:ind w:left="420" w:hanging="420"/>
      </w:pPr>
      <w:rPr>
        <w:rFonts w:ascii="Times New Roman" w:eastAsia="宋体" w:hAnsi="Times New Roman" w:cs="Times New Roman"/>
        <w:strike w:val="0"/>
        <w:dstrike w:val="0"/>
        <w:color w:val="auto"/>
        <w:sz w:val="24"/>
        <w:szCs w:val="24"/>
        <w:u w:val="none"/>
        <w:effect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7491E30"/>
    <w:multiLevelType w:val="hybridMultilevel"/>
    <w:tmpl w:val="A03C86B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38B81D43"/>
    <w:multiLevelType w:val="hybridMultilevel"/>
    <w:tmpl w:val="9F02902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409304E4"/>
    <w:multiLevelType w:val="hybridMultilevel"/>
    <w:tmpl w:val="93C0BA9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41A525B5"/>
    <w:multiLevelType w:val="hybridMultilevel"/>
    <w:tmpl w:val="98069E1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nsid w:val="4FC6212F"/>
    <w:multiLevelType w:val="hybridMultilevel"/>
    <w:tmpl w:val="7CE28CFA"/>
    <w:lvl w:ilvl="0" w:tplc="DFFA29A2">
      <w:start w:val="1"/>
      <w:numFmt w:val="decimal"/>
      <w:lvlText w:val="(%1)"/>
      <w:lvlJc w:val="left"/>
      <w:pPr>
        <w:ind w:left="420" w:hanging="420"/>
      </w:pPr>
      <w:rPr>
        <w:rFonts w:ascii="Times New Roman" w:hAnsi="Times New Roman" w:cs="Times New Roman" w:hint="default"/>
        <w:sz w:val="24"/>
        <w:szCs w:val="24"/>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5">
    <w:nsid w:val="5965444E"/>
    <w:multiLevelType w:val="hybridMultilevel"/>
    <w:tmpl w:val="2A9861B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lvl w:ilvl="0" w:tplc="DFFA29A2">
        <w:start w:val="1"/>
        <w:numFmt w:val="decimal"/>
        <w:lvlText w:val="（%1）"/>
        <w:lvlJc w:val="left"/>
        <w:pPr>
          <w:ind w:left="420" w:hanging="420"/>
        </w:pPr>
        <w:rPr>
          <w:rFonts w:ascii="Times New Roman" w:eastAsia="宋体" w:hAnsi="Times New Roman" w:cs="Times New Roman"/>
          <w:strike w:val="0"/>
          <w:dstrike w:val="0"/>
          <w:color w:val="auto"/>
          <w:sz w:val="24"/>
          <w:szCs w:val="24"/>
          <w:u w:val="none"/>
          <w:effect w:val="none"/>
        </w:rPr>
      </w:lvl>
    </w:lvlOverride>
    <w:lvlOverride w:ilvl="1">
      <w:lvl w:ilvl="1" w:tplc="04090003">
        <w:start w:val="1"/>
        <w:numFmt w:val="bullet"/>
        <w:lvlText w:val=""/>
        <w:lvlJc w:val="left"/>
        <w:pPr>
          <w:ind w:left="840" w:hanging="420"/>
        </w:pPr>
        <w:rPr>
          <w:rFonts w:ascii="Wingdings" w:hAnsi="Wingdings" w:hint="default"/>
          <w:color w:val="0000FF"/>
          <w:u w:val="double"/>
        </w:rPr>
      </w:lvl>
    </w:lvlOverride>
    <w:lvlOverride w:ilvl="2">
      <w:lvl w:ilvl="2" w:tplc="04090005">
        <w:start w:val="1"/>
        <w:numFmt w:val="bullet"/>
        <w:lvlText w:val=""/>
        <w:lvlJc w:val="left"/>
        <w:pPr>
          <w:ind w:left="1260" w:hanging="420"/>
        </w:pPr>
        <w:rPr>
          <w:rFonts w:ascii="Wingdings" w:hAnsi="Wingdings" w:hint="default"/>
          <w:color w:val="0000FF"/>
          <w:u w:val="double"/>
        </w:rPr>
      </w:lvl>
    </w:lvlOverride>
    <w:lvlOverride w:ilvl="3">
      <w:lvl w:ilvl="3" w:tplc="04090001">
        <w:start w:val="1"/>
        <w:numFmt w:val="bullet"/>
        <w:lvlText w:val=""/>
        <w:lvlJc w:val="left"/>
        <w:pPr>
          <w:ind w:left="1680" w:hanging="420"/>
        </w:pPr>
        <w:rPr>
          <w:rFonts w:ascii="Wingdings" w:hAnsi="Wingdings" w:hint="default"/>
          <w:color w:val="0000FF"/>
          <w:u w:val="double"/>
        </w:rPr>
      </w:lvl>
    </w:lvlOverride>
    <w:lvlOverride w:ilvl="4">
      <w:lvl w:ilvl="4" w:tplc="04090003">
        <w:start w:val="1"/>
        <w:numFmt w:val="bullet"/>
        <w:lvlText w:val=""/>
        <w:lvlJc w:val="left"/>
        <w:pPr>
          <w:ind w:left="2100" w:hanging="420"/>
        </w:pPr>
        <w:rPr>
          <w:rFonts w:ascii="Wingdings" w:hAnsi="Wingdings" w:hint="default"/>
          <w:color w:val="0000FF"/>
          <w:u w:val="double"/>
        </w:rPr>
      </w:lvl>
    </w:lvlOverride>
    <w:lvlOverride w:ilvl="5">
      <w:lvl w:ilvl="5" w:tplc="04090005">
        <w:start w:val="1"/>
        <w:numFmt w:val="bullet"/>
        <w:lvlText w:val=""/>
        <w:lvlJc w:val="left"/>
        <w:pPr>
          <w:ind w:left="2520" w:hanging="420"/>
        </w:pPr>
        <w:rPr>
          <w:rFonts w:ascii="Wingdings" w:hAnsi="Wingdings" w:hint="default"/>
          <w:color w:val="0000FF"/>
          <w:u w:val="double"/>
        </w:rPr>
      </w:lvl>
    </w:lvlOverride>
    <w:lvlOverride w:ilvl="6">
      <w:lvl w:ilvl="6" w:tplc="04090001">
        <w:start w:val="1"/>
        <w:numFmt w:val="bullet"/>
        <w:lvlText w:val=""/>
        <w:lvlJc w:val="left"/>
        <w:pPr>
          <w:ind w:left="2940" w:hanging="420"/>
        </w:pPr>
        <w:rPr>
          <w:rFonts w:ascii="Wingdings" w:hAnsi="Wingdings" w:hint="default"/>
          <w:color w:val="0000FF"/>
          <w:u w:val="double"/>
        </w:rPr>
      </w:lvl>
    </w:lvlOverride>
    <w:lvlOverride w:ilvl="7">
      <w:lvl w:ilvl="7" w:tplc="04090003">
        <w:start w:val="1"/>
        <w:numFmt w:val="bullet"/>
        <w:lvlText w:val=""/>
        <w:lvlJc w:val="left"/>
        <w:pPr>
          <w:ind w:left="3360" w:hanging="420"/>
        </w:pPr>
        <w:rPr>
          <w:rFonts w:ascii="Wingdings" w:hAnsi="Wingdings" w:hint="default"/>
          <w:color w:val="0000FF"/>
          <w:u w:val="double"/>
        </w:rPr>
      </w:lvl>
    </w:lvlOverride>
    <w:lvlOverride w:ilvl="8">
      <w:lvl w:ilvl="8" w:tplc="04090005">
        <w:start w:val="1"/>
        <w:numFmt w:val="bullet"/>
        <w:lvlText w:val=""/>
        <w:lvlJc w:val="left"/>
        <w:pPr>
          <w:ind w:left="3780" w:hanging="420"/>
        </w:pPr>
        <w:rPr>
          <w:rFonts w:ascii="Wingdings" w:hAnsi="Wingdings" w:hint="default"/>
          <w:color w:val="0000FF"/>
          <w:u w:val="double"/>
        </w:rPr>
      </w:lvl>
    </w:lvlOverride>
  </w:num>
  <w:num w:numId="4">
    <w:abstractNumId w:val="3"/>
    <w:lvlOverride w:ilvl="0">
      <w:startOverride w:val="1"/>
    </w:lvlOverride>
    <w:lvlOverride w:ilvl="1"/>
    <w:lvlOverride w:ilvl="2"/>
    <w:lvlOverride w:ilvl="3"/>
    <w:lvlOverride w:ilvl="4"/>
    <w:lvlOverride w:ilvl="5"/>
    <w:lvlOverride w:ilvl="6"/>
    <w:lvlOverride w:ilvl="7"/>
    <w:lvlOverride w:ilvl="8"/>
  </w:num>
  <w:num w:numId="5">
    <w:abstractNumId w:val="7"/>
  </w:num>
  <w:num w:numId="6">
    <w:abstractNumId w:val="2"/>
  </w:num>
  <w:num w:numId="7">
    <w:abstractNumId w:val="5"/>
  </w:num>
  <w:num w:numId="8">
    <w:abstractNumId w:val="8"/>
  </w:num>
  <w:num w:numId="9">
    <w:abstractNumId w:val="2"/>
  </w:num>
  <w:num w:numId="10">
    <w:abstractNumId w:val="14"/>
  </w:num>
  <w:num w:numId="11">
    <w:abstractNumId w:val="1"/>
  </w:num>
  <w:num w:numId="12">
    <w:abstractNumId w:val="9"/>
  </w:num>
  <w:num w:numId="13">
    <w:abstractNumId w:val="10"/>
  </w:num>
  <w:num w:numId="14">
    <w:abstractNumId w:val="4"/>
  </w:num>
  <w:num w:numId="15">
    <w:abstractNumId w:val="15"/>
  </w:num>
  <w:num w:numId="16">
    <w:abstractNumId w:val="13"/>
  </w:num>
  <w:num w:numId="17">
    <w:abstractNumId w:val="12"/>
  </w:num>
  <w:num w:numId="18">
    <w:abstractNumId w:val="6"/>
  </w:num>
  <w:num w:numId="1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ng karen">
    <w15:presenceInfo w15:providerId="Windows Live" w15:userId="bb9da589f59f03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20C3"/>
    <w:rsid w:val="00002798"/>
    <w:rsid w:val="000134E8"/>
    <w:rsid w:val="000677EF"/>
    <w:rsid w:val="00083418"/>
    <w:rsid w:val="00094095"/>
    <w:rsid w:val="000A14BB"/>
    <w:rsid w:val="000B62EF"/>
    <w:rsid w:val="000D5955"/>
    <w:rsid w:val="000F04BF"/>
    <w:rsid w:val="0013000B"/>
    <w:rsid w:val="001361EE"/>
    <w:rsid w:val="00151901"/>
    <w:rsid w:val="00157EED"/>
    <w:rsid w:val="00164331"/>
    <w:rsid w:val="0016705B"/>
    <w:rsid w:val="0018794A"/>
    <w:rsid w:val="00193229"/>
    <w:rsid w:val="001A0F1B"/>
    <w:rsid w:val="001A5E67"/>
    <w:rsid w:val="001B2E54"/>
    <w:rsid w:val="001E0AA5"/>
    <w:rsid w:val="001E5325"/>
    <w:rsid w:val="002023BE"/>
    <w:rsid w:val="00202BEC"/>
    <w:rsid w:val="00210DCE"/>
    <w:rsid w:val="002355AF"/>
    <w:rsid w:val="002366BB"/>
    <w:rsid w:val="002454B9"/>
    <w:rsid w:val="00245776"/>
    <w:rsid w:val="00257E63"/>
    <w:rsid w:val="00270CCF"/>
    <w:rsid w:val="00277C80"/>
    <w:rsid w:val="0029549A"/>
    <w:rsid w:val="002A3524"/>
    <w:rsid w:val="002C5185"/>
    <w:rsid w:val="002D5426"/>
    <w:rsid w:val="002F2D60"/>
    <w:rsid w:val="002F7881"/>
    <w:rsid w:val="00307976"/>
    <w:rsid w:val="0033679C"/>
    <w:rsid w:val="00352430"/>
    <w:rsid w:val="00352484"/>
    <w:rsid w:val="003623D7"/>
    <w:rsid w:val="0036298A"/>
    <w:rsid w:val="00363646"/>
    <w:rsid w:val="00384E48"/>
    <w:rsid w:val="003A09C9"/>
    <w:rsid w:val="003F431C"/>
    <w:rsid w:val="0040718A"/>
    <w:rsid w:val="00415D79"/>
    <w:rsid w:val="00436A59"/>
    <w:rsid w:val="004373A2"/>
    <w:rsid w:val="00462174"/>
    <w:rsid w:val="004671F7"/>
    <w:rsid w:val="004676DF"/>
    <w:rsid w:val="00486565"/>
    <w:rsid w:val="004C1240"/>
    <w:rsid w:val="004D4A3D"/>
    <w:rsid w:val="00504C35"/>
    <w:rsid w:val="005050E9"/>
    <w:rsid w:val="00566644"/>
    <w:rsid w:val="0057191E"/>
    <w:rsid w:val="00596BF5"/>
    <w:rsid w:val="005C2F82"/>
    <w:rsid w:val="005F167B"/>
    <w:rsid w:val="00602662"/>
    <w:rsid w:val="006412A3"/>
    <w:rsid w:val="00646327"/>
    <w:rsid w:val="00650E4A"/>
    <w:rsid w:val="00683BC8"/>
    <w:rsid w:val="0069442D"/>
    <w:rsid w:val="006C3F7A"/>
    <w:rsid w:val="00727977"/>
    <w:rsid w:val="00757B15"/>
    <w:rsid w:val="007830DA"/>
    <w:rsid w:val="007B7F94"/>
    <w:rsid w:val="007D16CA"/>
    <w:rsid w:val="007D4F8A"/>
    <w:rsid w:val="007D7EFB"/>
    <w:rsid w:val="007E6165"/>
    <w:rsid w:val="00811619"/>
    <w:rsid w:val="008208A0"/>
    <w:rsid w:val="00821298"/>
    <w:rsid w:val="00857500"/>
    <w:rsid w:val="0087671E"/>
    <w:rsid w:val="0088530B"/>
    <w:rsid w:val="00890605"/>
    <w:rsid w:val="00891AC9"/>
    <w:rsid w:val="008E3473"/>
    <w:rsid w:val="00911375"/>
    <w:rsid w:val="009115AA"/>
    <w:rsid w:val="00911606"/>
    <w:rsid w:val="009251E7"/>
    <w:rsid w:val="00933115"/>
    <w:rsid w:val="0094372B"/>
    <w:rsid w:val="00956308"/>
    <w:rsid w:val="0097387D"/>
    <w:rsid w:val="00976846"/>
    <w:rsid w:val="00976E5B"/>
    <w:rsid w:val="00986BC6"/>
    <w:rsid w:val="00986D9B"/>
    <w:rsid w:val="00992D10"/>
    <w:rsid w:val="009A0DA1"/>
    <w:rsid w:val="00A03B6C"/>
    <w:rsid w:val="00A23C5C"/>
    <w:rsid w:val="00A46243"/>
    <w:rsid w:val="00A5601F"/>
    <w:rsid w:val="00A642AB"/>
    <w:rsid w:val="00A65013"/>
    <w:rsid w:val="00A71F19"/>
    <w:rsid w:val="00A80785"/>
    <w:rsid w:val="00A81165"/>
    <w:rsid w:val="00A81366"/>
    <w:rsid w:val="00A877D1"/>
    <w:rsid w:val="00A95AE2"/>
    <w:rsid w:val="00AB1AE7"/>
    <w:rsid w:val="00AB4321"/>
    <w:rsid w:val="00AB56E9"/>
    <w:rsid w:val="00AB6C08"/>
    <w:rsid w:val="00AC7639"/>
    <w:rsid w:val="00AD0AF8"/>
    <w:rsid w:val="00AD6C59"/>
    <w:rsid w:val="00B04D8E"/>
    <w:rsid w:val="00B06F32"/>
    <w:rsid w:val="00B54F6A"/>
    <w:rsid w:val="00B900D5"/>
    <w:rsid w:val="00B9091E"/>
    <w:rsid w:val="00B955F5"/>
    <w:rsid w:val="00BA0750"/>
    <w:rsid w:val="00BA17CE"/>
    <w:rsid w:val="00BB2377"/>
    <w:rsid w:val="00BB494A"/>
    <w:rsid w:val="00BB4BE9"/>
    <w:rsid w:val="00C04FCA"/>
    <w:rsid w:val="00C31D3E"/>
    <w:rsid w:val="00C45095"/>
    <w:rsid w:val="00C45850"/>
    <w:rsid w:val="00C4717E"/>
    <w:rsid w:val="00C54222"/>
    <w:rsid w:val="00C66FFC"/>
    <w:rsid w:val="00C70A8F"/>
    <w:rsid w:val="00C9068E"/>
    <w:rsid w:val="00C946E4"/>
    <w:rsid w:val="00CA0123"/>
    <w:rsid w:val="00CA119A"/>
    <w:rsid w:val="00CE554B"/>
    <w:rsid w:val="00CF3D01"/>
    <w:rsid w:val="00CF4890"/>
    <w:rsid w:val="00D21777"/>
    <w:rsid w:val="00D51700"/>
    <w:rsid w:val="00D56480"/>
    <w:rsid w:val="00D71002"/>
    <w:rsid w:val="00D721DF"/>
    <w:rsid w:val="00DA1AE6"/>
    <w:rsid w:val="00DA4434"/>
    <w:rsid w:val="00DF3DC5"/>
    <w:rsid w:val="00E13A56"/>
    <w:rsid w:val="00E409F4"/>
    <w:rsid w:val="00E62722"/>
    <w:rsid w:val="00E64470"/>
    <w:rsid w:val="00E677B7"/>
    <w:rsid w:val="00E812F1"/>
    <w:rsid w:val="00E83371"/>
    <w:rsid w:val="00E94D94"/>
    <w:rsid w:val="00EA08FA"/>
    <w:rsid w:val="00EB0BA3"/>
    <w:rsid w:val="00EB0BB5"/>
    <w:rsid w:val="00EB69D3"/>
    <w:rsid w:val="00ED142C"/>
    <w:rsid w:val="00ED16C2"/>
    <w:rsid w:val="00ED21B1"/>
    <w:rsid w:val="00ED2EDC"/>
    <w:rsid w:val="00EF652D"/>
    <w:rsid w:val="00F12226"/>
    <w:rsid w:val="00F43308"/>
    <w:rsid w:val="00F676FD"/>
    <w:rsid w:val="00F71C4A"/>
    <w:rsid w:val="00F87C1F"/>
    <w:rsid w:val="00FA6C01"/>
    <w:rsid w:val="00FB04F7"/>
    <w:rsid w:val="00FC0FB5"/>
    <w:rsid w:val="00FC17EA"/>
    <w:rsid w:val="00FC68CA"/>
    <w:rsid w:val="00FD5FC9"/>
    <w:rsid w:val="00FE4E79"/>
    <w:rsid w:val="037F343B"/>
    <w:rsid w:val="03A24881"/>
    <w:rsid w:val="098A4D9D"/>
    <w:rsid w:val="09E06F63"/>
    <w:rsid w:val="10D843E8"/>
    <w:rsid w:val="12FE7AE9"/>
    <w:rsid w:val="163541CE"/>
    <w:rsid w:val="1A11362F"/>
    <w:rsid w:val="1C410B31"/>
    <w:rsid w:val="22B31228"/>
    <w:rsid w:val="25A004CD"/>
    <w:rsid w:val="284569B8"/>
    <w:rsid w:val="2B486108"/>
    <w:rsid w:val="2CFA36CC"/>
    <w:rsid w:val="2EC6246F"/>
    <w:rsid w:val="3A591DD2"/>
    <w:rsid w:val="3B5532AC"/>
    <w:rsid w:val="3CF53A56"/>
    <w:rsid w:val="3ECD14DA"/>
    <w:rsid w:val="3F307C4F"/>
    <w:rsid w:val="42F2573A"/>
    <w:rsid w:val="4D9A099A"/>
    <w:rsid w:val="51E254A6"/>
    <w:rsid w:val="555C2B5C"/>
    <w:rsid w:val="60187A27"/>
    <w:rsid w:val="60C344AA"/>
    <w:rsid w:val="6470528B"/>
    <w:rsid w:val="648210BE"/>
    <w:rsid w:val="67A65E62"/>
    <w:rsid w:val="686C44CD"/>
    <w:rsid w:val="69CC240B"/>
    <w:rsid w:val="6AD41083"/>
    <w:rsid w:val="74984449"/>
    <w:rsid w:val="789B02BE"/>
    <w:rsid w:val="7DAC21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nhideWhenUsed="0" w:qFormat="1"/>
    <w:lsdException w:name="annotation text" w:qFormat="1"/>
    <w:lsdException w:name="header" w:semiHidden="0" w:qFormat="1"/>
    <w:lsdException w:name="footer" w:semiHidden="0" w:qFormat="1"/>
    <w:lsdException w:name="caption" w:uiPriority="35" w:qFormat="1"/>
    <w:lsdException w:name="footnote reference" w:semiHidden="0" w:uiPriority="28" w:unhideWhenUsed="0" w:qFormat="1"/>
    <w:lsdException w:name="annotation reference" w:qFormat="1"/>
    <w:lsdException w:name="endnote reference" w:qFormat="1"/>
    <w:lsdException w:name="endnote text"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uiPriority="59"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qFormat/>
    <w:rPr>
      <w:b/>
      <w:bCs/>
    </w:rPr>
  </w:style>
  <w:style w:type="paragraph" w:styleId="a4">
    <w:name w:val="annotation text"/>
    <w:basedOn w:val="a"/>
    <w:link w:val="Char0"/>
    <w:uiPriority w:val="99"/>
    <w:semiHidden/>
    <w:unhideWhenUsed/>
    <w:qFormat/>
    <w:pPr>
      <w:jc w:val="left"/>
    </w:pPr>
  </w:style>
  <w:style w:type="paragraph" w:styleId="a5">
    <w:name w:val="endnote text"/>
    <w:basedOn w:val="a"/>
    <w:link w:val="Char1"/>
    <w:uiPriority w:val="99"/>
    <w:semiHidden/>
    <w:unhideWhenUsed/>
    <w:qFormat/>
    <w:pPr>
      <w:snapToGrid w:val="0"/>
      <w:jc w:val="left"/>
    </w:pPr>
  </w:style>
  <w:style w:type="paragraph" w:styleId="a6">
    <w:name w:val="Balloon Text"/>
    <w:basedOn w:val="a"/>
    <w:link w:val="Char2"/>
    <w:uiPriority w:val="99"/>
    <w:semiHidden/>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uiPriority w:val="99"/>
    <w:qFormat/>
    <w:pPr>
      <w:snapToGrid w:val="0"/>
      <w:jc w:val="left"/>
    </w:pPr>
    <w:rPr>
      <w:sz w:val="18"/>
      <w:szCs w:val="18"/>
    </w:rPr>
  </w:style>
  <w:style w:type="character" w:styleId="aa">
    <w:name w:val="endnote reference"/>
    <w:uiPriority w:val="99"/>
    <w:semiHidden/>
    <w:unhideWhenUsed/>
    <w:qFormat/>
    <w:rPr>
      <w:vertAlign w:val="superscript"/>
    </w:rPr>
  </w:style>
  <w:style w:type="character" w:styleId="ab">
    <w:name w:val="annotation reference"/>
    <w:basedOn w:val="a0"/>
    <w:uiPriority w:val="99"/>
    <w:semiHidden/>
    <w:unhideWhenUsed/>
    <w:qFormat/>
    <w:rPr>
      <w:sz w:val="21"/>
      <w:szCs w:val="21"/>
    </w:rPr>
  </w:style>
  <w:style w:type="character" w:styleId="ac">
    <w:name w:val="footnote reference"/>
    <w:uiPriority w:val="28"/>
    <w:qFormat/>
    <w:rPr>
      <w:vertAlign w:val="superscript"/>
    </w:rPr>
  </w:style>
  <w:style w:type="table" w:styleId="ad">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尾注文本 Char"/>
    <w:basedOn w:val="a0"/>
    <w:link w:val="a5"/>
    <w:uiPriority w:val="99"/>
    <w:semiHidden/>
    <w:qFormat/>
  </w:style>
  <w:style w:type="character" w:customStyle="1" w:styleId="Char4">
    <w:name w:val="页眉 Char"/>
    <w:link w:val="a8"/>
    <w:uiPriority w:val="99"/>
    <w:qFormat/>
    <w:rPr>
      <w:sz w:val="18"/>
      <w:szCs w:val="18"/>
    </w:rPr>
  </w:style>
  <w:style w:type="character" w:customStyle="1" w:styleId="Char3">
    <w:name w:val="页脚 Char"/>
    <w:link w:val="a7"/>
    <w:uiPriority w:val="99"/>
    <w:qFormat/>
    <w:rPr>
      <w:sz w:val="18"/>
      <w:szCs w:val="18"/>
    </w:rPr>
  </w:style>
  <w:style w:type="character" w:customStyle="1" w:styleId="Char0">
    <w:name w:val="批注文字 Char"/>
    <w:basedOn w:val="a0"/>
    <w:link w:val="a4"/>
    <w:uiPriority w:val="99"/>
    <w:semiHidden/>
    <w:qFormat/>
    <w:rPr>
      <w:kern w:val="2"/>
      <w:sz w:val="21"/>
      <w:szCs w:val="22"/>
      <w:lang w:val="en-US" w:bidi="ar-SA"/>
    </w:rPr>
  </w:style>
  <w:style w:type="character" w:customStyle="1" w:styleId="Char">
    <w:name w:val="批注主题 Char"/>
    <w:basedOn w:val="Char0"/>
    <w:link w:val="a3"/>
    <w:uiPriority w:val="99"/>
    <w:semiHidden/>
    <w:qFormat/>
    <w:rPr>
      <w:b/>
      <w:bCs/>
      <w:kern w:val="2"/>
      <w:sz w:val="21"/>
      <w:szCs w:val="22"/>
      <w:lang w:val="en-US" w:bidi="ar-SA"/>
    </w:rPr>
  </w:style>
  <w:style w:type="character" w:customStyle="1" w:styleId="Char2">
    <w:name w:val="批注框文本 Char"/>
    <w:basedOn w:val="a0"/>
    <w:link w:val="a6"/>
    <w:uiPriority w:val="99"/>
    <w:semiHidden/>
    <w:qFormat/>
    <w:rPr>
      <w:kern w:val="2"/>
      <w:sz w:val="18"/>
      <w:szCs w:val="18"/>
      <w:lang w:val="en-US" w:bidi="ar-SA"/>
    </w:rPr>
  </w:style>
  <w:style w:type="character" w:styleId="ae">
    <w:name w:val="Hyperlink"/>
    <w:basedOn w:val="a0"/>
    <w:uiPriority w:val="99"/>
    <w:semiHidden/>
    <w:unhideWhenUsed/>
    <w:rsid w:val="0087671E"/>
    <w:rPr>
      <w:color w:val="0000FF"/>
      <w:u w:val="single"/>
    </w:rPr>
  </w:style>
  <w:style w:type="paragraph" w:styleId="af">
    <w:name w:val="List Paragraph"/>
    <w:basedOn w:val="a"/>
    <w:uiPriority w:val="34"/>
    <w:qFormat/>
    <w:rsid w:val="00933115"/>
    <w:pPr>
      <w:ind w:firstLineChars="200" w:firstLine="420"/>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nhideWhenUsed="0" w:qFormat="1"/>
    <w:lsdException w:name="annotation text" w:qFormat="1"/>
    <w:lsdException w:name="header" w:semiHidden="0" w:qFormat="1"/>
    <w:lsdException w:name="footer" w:semiHidden="0" w:qFormat="1"/>
    <w:lsdException w:name="caption" w:uiPriority="35" w:qFormat="1"/>
    <w:lsdException w:name="footnote reference" w:semiHidden="0" w:uiPriority="28" w:unhideWhenUsed="0" w:qFormat="1"/>
    <w:lsdException w:name="annotation reference" w:qFormat="1"/>
    <w:lsdException w:name="endnote reference" w:qFormat="1"/>
    <w:lsdException w:name="endnote text"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uiPriority="59"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qFormat/>
    <w:rPr>
      <w:b/>
      <w:bCs/>
    </w:rPr>
  </w:style>
  <w:style w:type="paragraph" w:styleId="a4">
    <w:name w:val="annotation text"/>
    <w:basedOn w:val="a"/>
    <w:link w:val="Char0"/>
    <w:uiPriority w:val="99"/>
    <w:semiHidden/>
    <w:unhideWhenUsed/>
    <w:qFormat/>
    <w:pPr>
      <w:jc w:val="left"/>
    </w:pPr>
  </w:style>
  <w:style w:type="paragraph" w:styleId="a5">
    <w:name w:val="endnote text"/>
    <w:basedOn w:val="a"/>
    <w:link w:val="Char1"/>
    <w:uiPriority w:val="99"/>
    <w:semiHidden/>
    <w:unhideWhenUsed/>
    <w:qFormat/>
    <w:pPr>
      <w:snapToGrid w:val="0"/>
      <w:jc w:val="left"/>
    </w:pPr>
  </w:style>
  <w:style w:type="paragraph" w:styleId="a6">
    <w:name w:val="Balloon Text"/>
    <w:basedOn w:val="a"/>
    <w:link w:val="Char2"/>
    <w:uiPriority w:val="99"/>
    <w:semiHidden/>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uiPriority w:val="99"/>
    <w:qFormat/>
    <w:pPr>
      <w:snapToGrid w:val="0"/>
      <w:jc w:val="left"/>
    </w:pPr>
    <w:rPr>
      <w:sz w:val="18"/>
      <w:szCs w:val="18"/>
    </w:rPr>
  </w:style>
  <w:style w:type="character" w:styleId="aa">
    <w:name w:val="endnote reference"/>
    <w:uiPriority w:val="99"/>
    <w:semiHidden/>
    <w:unhideWhenUsed/>
    <w:qFormat/>
    <w:rPr>
      <w:vertAlign w:val="superscript"/>
    </w:rPr>
  </w:style>
  <w:style w:type="character" w:styleId="ab">
    <w:name w:val="annotation reference"/>
    <w:basedOn w:val="a0"/>
    <w:uiPriority w:val="99"/>
    <w:semiHidden/>
    <w:unhideWhenUsed/>
    <w:qFormat/>
    <w:rPr>
      <w:sz w:val="21"/>
      <w:szCs w:val="21"/>
    </w:rPr>
  </w:style>
  <w:style w:type="character" w:styleId="ac">
    <w:name w:val="footnote reference"/>
    <w:uiPriority w:val="28"/>
    <w:qFormat/>
    <w:rPr>
      <w:vertAlign w:val="superscript"/>
    </w:rPr>
  </w:style>
  <w:style w:type="table" w:styleId="ad">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尾注文本 Char"/>
    <w:basedOn w:val="a0"/>
    <w:link w:val="a5"/>
    <w:uiPriority w:val="99"/>
    <w:semiHidden/>
    <w:qFormat/>
  </w:style>
  <w:style w:type="character" w:customStyle="1" w:styleId="Char4">
    <w:name w:val="页眉 Char"/>
    <w:link w:val="a8"/>
    <w:uiPriority w:val="99"/>
    <w:qFormat/>
    <w:rPr>
      <w:sz w:val="18"/>
      <w:szCs w:val="18"/>
    </w:rPr>
  </w:style>
  <w:style w:type="character" w:customStyle="1" w:styleId="Char3">
    <w:name w:val="页脚 Char"/>
    <w:link w:val="a7"/>
    <w:uiPriority w:val="99"/>
    <w:qFormat/>
    <w:rPr>
      <w:sz w:val="18"/>
      <w:szCs w:val="18"/>
    </w:rPr>
  </w:style>
  <w:style w:type="character" w:customStyle="1" w:styleId="Char0">
    <w:name w:val="批注文字 Char"/>
    <w:basedOn w:val="a0"/>
    <w:link w:val="a4"/>
    <w:uiPriority w:val="99"/>
    <w:semiHidden/>
    <w:qFormat/>
    <w:rPr>
      <w:kern w:val="2"/>
      <w:sz w:val="21"/>
      <w:szCs w:val="22"/>
      <w:lang w:val="en-US" w:bidi="ar-SA"/>
    </w:rPr>
  </w:style>
  <w:style w:type="character" w:customStyle="1" w:styleId="Char">
    <w:name w:val="批注主题 Char"/>
    <w:basedOn w:val="Char0"/>
    <w:link w:val="a3"/>
    <w:uiPriority w:val="99"/>
    <w:semiHidden/>
    <w:qFormat/>
    <w:rPr>
      <w:b/>
      <w:bCs/>
      <w:kern w:val="2"/>
      <w:sz w:val="21"/>
      <w:szCs w:val="22"/>
      <w:lang w:val="en-US" w:bidi="ar-SA"/>
    </w:rPr>
  </w:style>
  <w:style w:type="character" w:customStyle="1" w:styleId="Char2">
    <w:name w:val="批注框文本 Char"/>
    <w:basedOn w:val="a0"/>
    <w:link w:val="a6"/>
    <w:uiPriority w:val="99"/>
    <w:semiHidden/>
    <w:qFormat/>
    <w:rPr>
      <w:kern w:val="2"/>
      <w:sz w:val="18"/>
      <w:szCs w:val="18"/>
      <w:lang w:val="en-US" w:bidi="ar-SA"/>
    </w:rPr>
  </w:style>
  <w:style w:type="character" w:styleId="ae">
    <w:name w:val="Hyperlink"/>
    <w:basedOn w:val="a0"/>
    <w:uiPriority w:val="99"/>
    <w:semiHidden/>
    <w:unhideWhenUsed/>
    <w:rsid w:val="0087671E"/>
    <w:rPr>
      <w:color w:val="0000FF"/>
      <w:u w:val="single"/>
    </w:rPr>
  </w:style>
  <w:style w:type="paragraph" w:styleId="af">
    <w:name w:val="List Paragraph"/>
    <w:basedOn w:val="a"/>
    <w:uiPriority w:val="34"/>
    <w:qFormat/>
    <w:rsid w:val="00933115"/>
    <w:pPr>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282484">
      <w:bodyDiv w:val="1"/>
      <w:marLeft w:val="0"/>
      <w:marRight w:val="0"/>
      <w:marTop w:val="0"/>
      <w:marBottom w:val="0"/>
      <w:divBdr>
        <w:top w:val="none" w:sz="0" w:space="0" w:color="auto"/>
        <w:left w:val="none" w:sz="0" w:space="0" w:color="auto"/>
        <w:bottom w:val="none" w:sz="0" w:space="0" w:color="auto"/>
        <w:right w:val="none" w:sz="0" w:space="0" w:color="auto"/>
      </w:divBdr>
    </w:div>
    <w:div w:id="1092581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C70FC3-81B2-4FE9-8F50-8E6A8A931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180</Words>
  <Characters>1031</Characters>
  <Application>Microsoft Office Word</Application>
  <DocSecurity>0</DocSecurity>
  <Lines>8</Lines>
  <Paragraphs>2</Paragraphs>
  <ScaleCrop>false</ScaleCrop>
  <Company>http://www.deepbbs.org</Company>
  <LinksUpToDate>false</LinksUpToDate>
  <CharactersWithSpaces>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mofcom</cp:lastModifiedBy>
  <cp:revision>2</cp:revision>
  <cp:lastPrinted>2014-10-08T02:48:00Z</cp:lastPrinted>
  <dcterms:created xsi:type="dcterms:W3CDTF">2018-12-27T08:58:00Z</dcterms:created>
  <dcterms:modified xsi:type="dcterms:W3CDTF">2018-12-27T08:58:00Z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A36122288</vt:lpwstr>
  </property>
  <property fmtid="{D5CDD505-2E9C-101B-9397-08002B2CF9AE}" pid="3" name="Version">
    <vt:lpwstr>0.7</vt:lpwstr>
  </property>
  <property fmtid="{D5CDD505-2E9C-101B-9397-08002B2CF9AE}" pid="4" name="Last Modified">
    <vt:lpwstr>19 Mar 2018</vt:lpwstr>
  </property>
  <property fmtid="{D5CDD505-2E9C-101B-9397-08002B2CF9AE}" pid="5" name="Matter Number">
    <vt:lpwstr>L-269343</vt:lpwstr>
  </property>
  <property fmtid="{D5CDD505-2E9C-101B-9397-08002B2CF9AE}" pid="6" name="Client Code">
    <vt:lpwstr>10253201</vt:lpwstr>
  </property>
  <property fmtid="{D5CDD505-2E9C-101B-9397-08002B2CF9AE}" pid="7" name="Mode">
    <vt:lpwstr>SendAs</vt:lpwstr>
  </property>
  <property fmtid="{D5CDD505-2E9C-101B-9397-08002B2CF9AE}" pid="8" name="DEDocumentLocation">
    <vt:lpwstr>C:\Users\aqlee\AppData\Local\Linklaters\DocExplorer\Attachments\180320_Ladder_Final Simple Case Publicity Form_CHN.docx</vt:lpwstr>
  </property>
  <property fmtid="{D5CDD505-2E9C-101B-9397-08002B2CF9AE}" pid="9" name="ObjectID">
    <vt:lpwstr>09001dc891a1b8db</vt:lpwstr>
  </property>
  <property fmtid="{D5CDD505-2E9C-101B-9397-08002B2CF9AE}" pid="10" name="KSOProductBuildVer">
    <vt:lpwstr>2052-10.1.0.7469</vt:lpwstr>
  </property>
</Properties>
</file>