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D80" w:rsidRPr="007C3E7E" w:rsidRDefault="00751D80" w:rsidP="00751D80">
      <w:pPr>
        <w:spacing w:line="440" w:lineRule="exact"/>
        <w:jc w:val="center"/>
        <w:rPr>
          <w:rFonts w:eastAsia="宋体"/>
          <w:sz w:val="24"/>
          <w:szCs w:val="30"/>
        </w:rPr>
      </w:pPr>
      <w:r w:rsidRPr="007C3E7E">
        <w:rPr>
          <w:rFonts w:eastAsia="宋体"/>
          <w:sz w:val="24"/>
          <w:szCs w:val="30"/>
        </w:rPr>
        <w:t>经营者集中简易案件公示表</w:t>
      </w:r>
    </w:p>
    <w:p w:rsidR="00751D80" w:rsidRPr="007C3E7E" w:rsidRDefault="00751D80" w:rsidP="00751D80">
      <w:pPr>
        <w:spacing w:line="440" w:lineRule="exact"/>
        <w:rPr>
          <w:rFonts w:eastAsia="宋体"/>
          <w:sz w:val="24"/>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751D80" w:rsidRPr="007C3E7E" w:rsidTr="000C01C5">
        <w:tc>
          <w:tcPr>
            <w:tcW w:w="1809" w:type="dxa"/>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r w:rsidRPr="007C3E7E">
              <w:rPr>
                <w:rFonts w:eastAsia="宋体"/>
                <w:b/>
                <w:kern w:val="0"/>
                <w:sz w:val="24"/>
                <w:szCs w:val="24"/>
                <w:bdr w:val="none" w:sz="0" w:space="0" w:color="auto" w:frame="1"/>
              </w:rPr>
              <w:t>案件名称</w:t>
            </w:r>
          </w:p>
        </w:tc>
        <w:tc>
          <w:tcPr>
            <w:tcW w:w="6949" w:type="dxa"/>
            <w:gridSpan w:val="2"/>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hint="eastAsia"/>
                <w:kern w:val="0"/>
                <w:sz w:val="24"/>
                <w:szCs w:val="24"/>
                <w:bdr w:val="none" w:sz="0" w:space="0" w:color="auto" w:frame="1"/>
              </w:rPr>
              <w:t>Dahlia</w:t>
            </w:r>
            <w:r w:rsidRPr="007C3E7E">
              <w:rPr>
                <w:rFonts w:eastAsia="宋体" w:hint="eastAsia"/>
                <w:kern w:val="0"/>
                <w:sz w:val="24"/>
                <w:szCs w:val="24"/>
                <w:bdr w:val="none" w:sz="0" w:space="0" w:color="auto" w:frame="1"/>
              </w:rPr>
              <w:t>私人投资有限公司收购托普索公司股权案</w:t>
            </w:r>
          </w:p>
        </w:tc>
      </w:tr>
      <w:tr w:rsidR="00751D80" w:rsidRPr="007C3E7E" w:rsidTr="000C01C5">
        <w:trPr>
          <w:trHeight w:val="993"/>
        </w:trPr>
        <w:tc>
          <w:tcPr>
            <w:tcW w:w="1809" w:type="dxa"/>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r w:rsidRPr="007C3E7E">
              <w:rPr>
                <w:rFonts w:eastAsia="宋体"/>
                <w:b/>
                <w:kern w:val="0"/>
                <w:sz w:val="24"/>
                <w:szCs w:val="24"/>
                <w:bdr w:val="none" w:sz="0" w:space="0" w:color="auto" w:frame="1"/>
              </w:rPr>
              <w:t>交易概况</w:t>
            </w:r>
          </w:p>
          <w:p w:rsidR="00751D80" w:rsidRPr="007C3E7E" w:rsidRDefault="00751D80" w:rsidP="000C01C5">
            <w:pPr>
              <w:spacing w:line="500" w:lineRule="exact"/>
              <w:jc w:val="center"/>
              <w:rPr>
                <w:rFonts w:eastAsia="宋体"/>
                <w:b/>
                <w:kern w:val="0"/>
                <w:sz w:val="24"/>
                <w:szCs w:val="24"/>
                <w:bdr w:val="none" w:sz="0" w:space="0" w:color="auto" w:frame="1"/>
              </w:rPr>
            </w:pPr>
            <w:r w:rsidRPr="007C3E7E">
              <w:rPr>
                <w:rFonts w:eastAsia="宋体"/>
                <w:b/>
                <w:kern w:val="0"/>
                <w:sz w:val="24"/>
                <w:szCs w:val="24"/>
                <w:bdr w:val="none" w:sz="0" w:space="0" w:color="auto" w:frame="1"/>
              </w:rPr>
              <w:t>（限</w:t>
            </w:r>
            <w:r w:rsidRPr="007C3E7E">
              <w:rPr>
                <w:rFonts w:eastAsia="宋体"/>
                <w:b/>
                <w:kern w:val="0"/>
                <w:sz w:val="24"/>
                <w:szCs w:val="24"/>
                <w:bdr w:val="none" w:sz="0" w:space="0" w:color="auto" w:frame="1"/>
              </w:rPr>
              <w:t>200</w:t>
            </w:r>
            <w:r w:rsidRPr="007C3E7E">
              <w:rPr>
                <w:rFonts w:eastAsia="宋体"/>
                <w:b/>
                <w:kern w:val="0"/>
                <w:sz w:val="24"/>
                <w:szCs w:val="24"/>
                <w:bdr w:val="none" w:sz="0" w:space="0" w:color="auto" w:frame="1"/>
              </w:rPr>
              <w:t>字内）</w:t>
            </w:r>
          </w:p>
        </w:tc>
        <w:tc>
          <w:tcPr>
            <w:tcW w:w="6949" w:type="dxa"/>
            <w:gridSpan w:val="2"/>
          </w:tcPr>
          <w:p w:rsidR="00751D80" w:rsidRPr="007C3E7E" w:rsidRDefault="00751D80" w:rsidP="00751D80">
            <w:pPr>
              <w:spacing w:line="500" w:lineRule="exact"/>
              <w:rPr>
                <w:rFonts w:eastAsia="宋体"/>
                <w:kern w:val="0"/>
                <w:sz w:val="24"/>
                <w:szCs w:val="24"/>
                <w:bdr w:val="none" w:sz="0" w:space="0" w:color="auto" w:frame="1"/>
              </w:rPr>
            </w:pPr>
            <w:r w:rsidRPr="007C3E7E">
              <w:rPr>
                <w:rFonts w:eastAsia="宋体" w:hint="eastAsia"/>
                <w:kern w:val="0"/>
                <w:sz w:val="24"/>
                <w:szCs w:val="24"/>
                <w:bdr w:val="none" w:sz="0" w:space="0" w:color="auto" w:frame="1"/>
              </w:rPr>
              <w:t>拟议交易涉及</w:t>
            </w:r>
            <w:r w:rsidRPr="007C3E7E">
              <w:rPr>
                <w:rFonts w:eastAsia="宋体" w:hint="eastAsia"/>
                <w:kern w:val="0"/>
                <w:sz w:val="24"/>
                <w:szCs w:val="24"/>
                <w:bdr w:val="none" w:sz="0" w:space="0" w:color="auto" w:frame="1"/>
              </w:rPr>
              <w:t>Dahlia</w:t>
            </w:r>
            <w:r w:rsidRPr="007C3E7E">
              <w:rPr>
                <w:rFonts w:eastAsia="宋体" w:hint="eastAsia"/>
                <w:kern w:val="0"/>
                <w:sz w:val="24"/>
                <w:szCs w:val="24"/>
                <w:bdr w:val="none" w:sz="0" w:space="0" w:color="auto" w:frame="1"/>
              </w:rPr>
              <w:t>（一家由淡马锡</w:t>
            </w:r>
            <w:r w:rsidR="004B6E39" w:rsidRPr="007C3E7E">
              <w:rPr>
                <w:rFonts w:eastAsia="宋体" w:hint="eastAsia"/>
                <w:kern w:val="0"/>
                <w:sz w:val="24"/>
                <w:szCs w:val="24"/>
                <w:bdr w:val="none" w:sz="0" w:space="0" w:color="auto" w:frame="1"/>
              </w:rPr>
              <w:t>控股（私人）有限公司</w:t>
            </w:r>
            <w:r w:rsidRPr="007C3E7E">
              <w:rPr>
                <w:rFonts w:eastAsia="宋体" w:hint="eastAsia"/>
                <w:kern w:val="0"/>
                <w:sz w:val="24"/>
                <w:szCs w:val="24"/>
                <w:bdr w:val="none" w:sz="0" w:space="0" w:color="auto" w:frame="1"/>
              </w:rPr>
              <w:t>间接所有和控制的公司）</w:t>
            </w:r>
            <w:r w:rsidR="004B6E39" w:rsidRPr="007C3E7E">
              <w:rPr>
                <w:rFonts w:eastAsia="宋体" w:hint="eastAsia"/>
                <w:kern w:val="0"/>
                <w:sz w:val="24"/>
                <w:szCs w:val="24"/>
                <w:bdr w:val="none" w:sz="0" w:space="0" w:color="auto" w:frame="1"/>
              </w:rPr>
              <w:t>从托普索控股公司</w:t>
            </w:r>
            <w:bookmarkStart w:id="0" w:name="_GoBack"/>
            <w:bookmarkEnd w:id="0"/>
            <w:r w:rsidRPr="007C3E7E">
              <w:rPr>
                <w:rFonts w:eastAsia="宋体" w:hint="eastAsia"/>
                <w:kern w:val="0"/>
                <w:sz w:val="24"/>
                <w:szCs w:val="24"/>
                <w:bdr w:val="none" w:sz="0" w:space="0" w:color="auto" w:frame="1"/>
              </w:rPr>
              <w:t>收购托普索</w:t>
            </w:r>
            <w:r w:rsidR="004B6E39" w:rsidRPr="007C3E7E">
              <w:rPr>
                <w:rFonts w:eastAsia="宋体" w:hint="eastAsia"/>
                <w:kern w:val="0"/>
                <w:sz w:val="24"/>
                <w:szCs w:val="24"/>
                <w:bdr w:val="none" w:sz="0" w:space="0" w:color="auto" w:frame="1"/>
              </w:rPr>
              <w:t>公司（“托普索”）</w:t>
            </w:r>
            <w:r w:rsidRPr="007C3E7E">
              <w:rPr>
                <w:rFonts w:eastAsia="宋体" w:hint="eastAsia"/>
                <w:kern w:val="0"/>
                <w:sz w:val="24"/>
                <w:szCs w:val="24"/>
                <w:bdr w:val="none" w:sz="0" w:space="0" w:color="auto" w:frame="1"/>
              </w:rPr>
              <w:t>30%</w:t>
            </w:r>
            <w:r w:rsidRPr="007C3E7E">
              <w:rPr>
                <w:rFonts w:eastAsia="宋体" w:hint="eastAsia"/>
                <w:kern w:val="0"/>
                <w:sz w:val="24"/>
                <w:szCs w:val="24"/>
                <w:bdr w:val="none" w:sz="0" w:space="0" w:color="auto" w:frame="1"/>
              </w:rPr>
              <w:t>的股权和相应的控制权。因此，交易交割时，</w:t>
            </w:r>
            <w:r w:rsidRPr="007C3E7E">
              <w:rPr>
                <w:rFonts w:eastAsia="宋体" w:hint="eastAsia"/>
                <w:kern w:val="0"/>
                <w:sz w:val="24"/>
                <w:szCs w:val="24"/>
                <w:bdr w:val="none" w:sz="0" w:space="0" w:color="auto" w:frame="1"/>
              </w:rPr>
              <w:t>Dahlia</w:t>
            </w:r>
            <w:r w:rsidRPr="007C3E7E">
              <w:rPr>
                <w:rFonts w:eastAsia="宋体" w:hint="eastAsia"/>
                <w:kern w:val="0"/>
                <w:sz w:val="24"/>
                <w:szCs w:val="24"/>
                <w:bdr w:val="none" w:sz="0" w:space="0" w:color="auto" w:frame="1"/>
              </w:rPr>
              <w:t>和托普索控股将共同控制目标公司（即托普索）。</w:t>
            </w:r>
          </w:p>
        </w:tc>
      </w:tr>
      <w:tr w:rsidR="00751D80" w:rsidRPr="007C3E7E" w:rsidTr="000C01C5">
        <w:trPr>
          <w:trHeight w:val="468"/>
        </w:trPr>
        <w:tc>
          <w:tcPr>
            <w:tcW w:w="1809" w:type="dxa"/>
            <w:vMerge w:val="restart"/>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r w:rsidRPr="007C3E7E">
              <w:rPr>
                <w:rFonts w:eastAsia="宋体"/>
                <w:b/>
                <w:kern w:val="0"/>
                <w:sz w:val="24"/>
                <w:szCs w:val="24"/>
                <w:bdr w:val="none" w:sz="0" w:space="0" w:color="auto" w:frame="1"/>
              </w:rPr>
              <w:t>参与集中的</w:t>
            </w:r>
          </w:p>
          <w:p w:rsidR="00751D80" w:rsidRPr="007C3E7E" w:rsidRDefault="00751D80" w:rsidP="000C01C5">
            <w:pPr>
              <w:spacing w:line="500" w:lineRule="exact"/>
              <w:jc w:val="center"/>
              <w:rPr>
                <w:rFonts w:eastAsia="宋体"/>
                <w:b/>
                <w:kern w:val="0"/>
                <w:sz w:val="24"/>
                <w:szCs w:val="24"/>
                <w:bdr w:val="none" w:sz="0" w:space="0" w:color="auto" w:frame="1"/>
              </w:rPr>
            </w:pPr>
            <w:r w:rsidRPr="007C3E7E">
              <w:rPr>
                <w:rFonts w:eastAsia="宋体"/>
                <w:b/>
                <w:kern w:val="0"/>
                <w:sz w:val="24"/>
                <w:szCs w:val="24"/>
                <w:bdr w:val="none" w:sz="0" w:space="0" w:color="auto" w:frame="1"/>
              </w:rPr>
              <w:t>经营者简介</w:t>
            </w:r>
          </w:p>
        </w:tc>
        <w:tc>
          <w:tcPr>
            <w:tcW w:w="1796" w:type="dxa"/>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kern w:val="0"/>
                <w:sz w:val="24"/>
                <w:szCs w:val="24"/>
                <w:bdr w:val="none" w:sz="0" w:space="0" w:color="auto" w:frame="1"/>
              </w:rPr>
              <w:t>1</w:t>
            </w:r>
            <w:r w:rsidRPr="007C3E7E">
              <w:rPr>
                <w:rFonts w:eastAsia="宋体"/>
                <w:kern w:val="0"/>
                <w:sz w:val="24"/>
                <w:szCs w:val="24"/>
                <w:bdr w:val="none" w:sz="0" w:space="0" w:color="auto" w:frame="1"/>
              </w:rPr>
              <w:t>、</w:t>
            </w:r>
            <w:r w:rsidRPr="007C3E7E">
              <w:rPr>
                <w:rFonts w:eastAsia="宋体" w:cs="宋体"/>
                <w:bCs/>
                <w:kern w:val="0"/>
                <w:sz w:val="24"/>
                <w:szCs w:val="21"/>
              </w:rPr>
              <w:t>Dahlia</w:t>
            </w:r>
            <w:r w:rsidRPr="007C3E7E">
              <w:rPr>
                <w:rFonts w:eastAsia="宋体" w:cs="宋体" w:hint="eastAsia"/>
                <w:bCs/>
                <w:kern w:val="0"/>
                <w:sz w:val="24"/>
                <w:szCs w:val="21"/>
              </w:rPr>
              <w:t>私人投资有限公司（</w:t>
            </w:r>
            <w:r w:rsidRPr="007C3E7E">
              <w:rPr>
                <w:rFonts w:eastAsia="宋体"/>
                <w:sz w:val="24"/>
                <w:szCs w:val="21"/>
              </w:rPr>
              <w:t xml:space="preserve">Dahlia Investments </w:t>
            </w:r>
            <w:proofErr w:type="spellStart"/>
            <w:r w:rsidRPr="007C3E7E">
              <w:rPr>
                <w:rFonts w:eastAsia="宋体"/>
                <w:sz w:val="24"/>
                <w:szCs w:val="21"/>
              </w:rPr>
              <w:t>Pte.</w:t>
            </w:r>
            <w:proofErr w:type="spellEnd"/>
            <w:r w:rsidRPr="007C3E7E">
              <w:rPr>
                <w:rFonts w:eastAsia="宋体"/>
                <w:sz w:val="24"/>
                <w:szCs w:val="21"/>
              </w:rPr>
              <w:t xml:space="preserve"> Ltd.</w:t>
            </w:r>
            <w:r w:rsidRPr="007C3E7E">
              <w:rPr>
                <w:rFonts w:eastAsia="宋体" w:cs="宋体" w:hint="eastAsia"/>
                <w:bCs/>
                <w:kern w:val="0"/>
                <w:sz w:val="24"/>
                <w:szCs w:val="21"/>
              </w:rPr>
              <w:t>）（“</w:t>
            </w:r>
            <w:r w:rsidRPr="007C3E7E">
              <w:rPr>
                <w:rFonts w:eastAsia="宋体" w:cs="宋体"/>
                <w:b/>
                <w:bCs/>
                <w:kern w:val="0"/>
                <w:sz w:val="24"/>
                <w:szCs w:val="21"/>
              </w:rPr>
              <w:t>Dahlia</w:t>
            </w:r>
            <w:r w:rsidRPr="007C3E7E">
              <w:rPr>
                <w:rFonts w:eastAsia="宋体" w:cs="宋体"/>
                <w:bCs/>
                <w:kern w:val="0"/>
                <w:sz w:val="24"/>
                <w:szCs w:val="21"/>
              </w:rPr>
              <w:t>”</w:t>
            </w:r>
            <w:r w:rsidRPr="007C3E7E">
              <w:rPr>
                <w:rFonts w:eastAsia="宋体" w:cs="宋体" w:hint="eastAsia"/>
                <w:bCs/>
                <w:kern w:val="0"/>
                <w:sz w:val="24"/>
                <w:szCs w:val="21"/>
              </w:rPr>
              <w:t>）</w:t>
            </w:r>
          </w:p>
        </w:tc>
        <w:tc>
          <w:tcPr>
            <w:tcW w:w="5153" w:type="dxa"/>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sz w:val="24"/>
              </w:rPr>
              <w:t>Dahlia</w:t>
            </w:r>
            <w:r w:rsidRPr="007C3E7E">
              <w:rPr>
                <w:rFonts w:eastAsia="宋体"/>
                <w:sz w:val="24"/>
              </w:rPr>
              <w:t>是一家投资控股公司，因此除持有投资外</w:t>
            </w:r>
            <w:r w:rsidRPr="007C3E7E">
              <w:rPr>
                <w:rFonts w:eastAsia="宋体" w:hint="eastAsia"/>
                <w:sz w:val="24"/>
              </w:rPr>
              <w:t>，不从事</w:t>
            </w:r>
            <w:r w:rsidRPr="007C3E7E">
              <w:rPr>
                <w:rFonts w:eastAsia="宋体"/>
                <w:sz w:val="24"/>
              </w:rPr>
              <w:t>任何实质经营活动。</w:t>
            </w:r>
          </w:p>
        </w:tc>
      </w:tr>
      <w:tr w:rsidR="00751D80" w:rsidRPr="007C3E7E" w:rsidTr="000C01C5">
        <w:trPr>
          <w:trHeight w:val="543"/>
        </w:trPr>
        <w:tc>
          <w:tcPr>
            <w:tcW w:w="1809" w:type="dxa"/>
            <w:vMerge/>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p>
        </w:tc>
        <w:tc>
          <w:tcPr>
            <w:tcW w:w="1796" w:type="dxa"/>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kern w:val="0"/>
                <w:sz w:val="24"/>
                <w:szCs w:val="24"/>
                <w:bdr w:val="none" w:sz="0" w:space="0" w:color="auto" w:frame="1"/>
              </w:rPr>
              <w:t>2</w:t>
            </w:r>
            <w:r w:rsidRPr="007C3E7E">
              <w:rPr>
                <w:rFonts w:eastAsia="宋体"/>
                <w:kern w:val="0"/>
                <w:sz w:val="24"/>
                <w:szCs w:val="24"/>
                <w:bdr w:val="none" w:sz="0" w:space="0" w:color="auto" w:frame="1"/>
              </w:rPr>
              <w:t>、</w:t>
            </w:r>
            <w:r w:rsidRPr="007C3E7E">
              <w:rPr>
                <w:rFonts w:eastAsia="宋体" w:cs="宋体" w:hint="eastAsia"/>
                <w:bCs/>
                <w:kern w:val="0"/>
                <w:sz w:val="24"/>
                <w:szCs w:val="21"/>
              </w:rPr>
              <w:t>托普索控股公司</w:t>
            </w:r>
            <w:r w:rsidRPr="007C3E7E">
              <w:rPr>
                <w:rFonts w:eastAsia="宋体" w:hint="eastAsia"/>
                <w:sz w:val="24"/>
                <w:szCs w:val="21"/>
              </w:rPr>
              <w:t>（</w:t>
            </w:r>
            <w:proofErr w:type="spellStart"/>
            <w:r w:rsidRPr="007C3E7E">
              <w:rPr>
                <w:rFonts w:eastAsia="宋体"/>
                <w:sz w:val="24"/>
                <w:szCs w:val="21"/>
              </w:rPr>
              <w:t>Haldor</w:t>
            </w:r>
            <w:proofErr w:type="spellEnd"/>
            <w:r w:rsidRPr="007C3E7E">
              <w:rPr>
                <w:rFonts w:eastAsia="宋体"/>
                <w:sz w:val="24"/>
                <w:szCs w:val="21"/>
              </w:rPr>
              <w:t xml:space="preserve"> </w:t>
            </w:r>
            <w:proofErr w:type="spellStart"/>
            <w:r w:rsidRPr="007C3E7E">
              <w:rPr>
                <w:rFonts w:eastAsia="宋体"/>
                <w:sz w:val="24"/>
                <w:szCs w:val="21"/>
              </w:rPr>
              <w:t>Topsøe</w:t>
            </w:r>
            <w:proofErr w:type="spellEnd"/>
            <w:r w:rsidRPr="007C3E7E">
              <w:rPr>
                <w:rFonts w:eastAsia="宋体"/>
                <w:sz w:val="24"/>
                <w:szCs w:val="21"/>
              </w:rPr>
              <w:t xml:space="preserve"> Holding A/S</w:t>
            </w:r>
            <w:r w:rsidRPr="007C3E7E">
              <w:rPr>
                <w:rFonts w:eastAsia="宋体" w:hint="eastAsia"/>
                <w:sz w:val="24"/>
                <w:szCs w:val="21"/>
              </w:rPr>
              <w:t>）（“</w:t>
            </w:r>
            <w:r w:rsidRPr="007C3E7E">
              <w:rPr>
                <w:rFonts w:eastAsia="宋体" w:hint="eastAsia"/>
                <w:b/>
                <w:sz w:val="24"/>
                <w:szCs w:val="21"/>
              </w:rPr>
              <w:t>托普索控股</w:t>
            </w:r>
            <w:r w:rsidRPr="007C3E7E">
              <w:rPr>
                <w:rFonts w:eastAsia="宋体" w:hint="eastAsia"/>
                <w:sz w:val="24"/>
                <w:szCs w:val="21"/>
              </w:rPr>
              <w:t>”）</w:t>
            </w:r>
          </w:p>
        </w:tc>
        <w:tc>
          <w:tcPr>
            <w:tcW w:w="5153" w:type="dxa"/>
          </w:tcPr>
          <w:p w:rsidR="00751D80" w:rsidRPr="007C3E7E" w:rsidRDefault="00751D80" w:rsidP="00751D80">
            <w:pPr>
              <w:widowControl/>
              <w:snapToGrid w:val="0"/>
              <w:rPr>
                <w:rFonts w:eastAsia="宋体"/>
                <w:sz w:val="24"/>
              </w:rPr>
            </w:pPr>
            <w:r w:rsidRPr="007C3E7E">
              <w:rPr>
                <w:rFonts w:eastAsia="宋体" w:hint="eastAsia"/>
                <w:sz w:val="24"/>
              </w:rPr>
              <w:t>托普索控股是一家控股公司，公司创始人通过其持有托普索的股权。</w:t>
            </w:r>
          </w:p>
          <w:p w:rsidR="00751D80" w:rsidRPr="007C3E7E" w:rsidRDefault="00751D80" w:rsidP="00751D80">
            <w:pPr>
              <w:widowControl/>
              <w:snapToGrid w:val="0"/>
              <w:rPr>
                <w:rFonts w:eastAsia="宋体"/>
                <w:sz w:val="24"/>
              </w:rPr>
            </w:pPr>
            <w:r w:rsidRPr="007C3E7E">
              <w:rPr>
                <w:rFonts w:eastAsia="宋体" w:hint="eastAsia"/>
                <w:sz w:val="24"/>
              </w:rPr>
              <w:t>托普索的收入来源于以下两个方面的业务：</w:t>
            </w:r>
          </w:p>
          <w:p w:rsidR="00751D80" w:rsidRPr="007C3E7E" w:rsidRDefault="00751D80" w:rsidP="00751D80">
            <w:pPr>
              <w:pStyle w:val="ac"/>
              <w:widowControl/>
              <w:numPr>
                <w:ilvl w:val="0"/>
                <w:numId w:val="8"/>
              </w:numPr>
              <w:snapToGrid w:val="0"/>
              <w:ind w:firstLineChars="0"/>
              <w:rPr>
                <w:rFonts w:eastAsia="宋体"/>
                <w:sz w:val="24"/>
              </w:rPr>
            </w:pPr>
            <w:r w:rsidRPr="007C3E7E">
              <w:rPr>
                <w:rFonts w:eastAsia="宋体" w:hint="eastAsia"/>
                <w:sz w:val="24"/>
              </w:rPr>
              <w:t>催化剂。托普索供应的催化剂用于多种生产工艺。</w:t>
            </w:r>
          </w:p>
          <w:p w:rsidR="00751D80" w:rsidRPr="007C3E7E" w:rsidRDefault="00751D80" w:rsidP="00751D80">
            <w:pPr>
              <w:pStyle w:val="ac"/>
              <w:widowControl/>
              <w:numPr>
                <w:ilvl w:val="0"/>
                <w:numId w:val="8"/>
              </w:numPr>
              <w:snapToGrid w:val="0"/>
              <w:ind w:firstLineChars="0"/>
              <w:rPr>
                <w:rFonts w:eastAsia="宋体"/>
                <w:sz w:val="24"/>
              </w:rPr>
            </w:pPr>
            <w:r w:rsidRPr="007C3E7E">
              <w:rPr>
                <w:rFonts w:eastAsia="宋体" w:hint="eastAsia"/>
                <w:sz w:val="24"/>
              </w:rPr>
              <w:t>催化技术许可，包含设备供应和相关服务。托普索为建造新工厂或扩产其现有工厂的公司进行一系列化学催化技术许可。</w:t>
            </w:r>
          </w:p>
        </w:tc>
      </w:tr>
      <w:tr w:rsidR="00751D80" w:rsidRPr="007C3E7E" w:rsidTr="000C01C5">
        <w:trPr>
          <w:trHeight w:val="279"/>
        </w:trPr>
        <w:tc>
          <w:tcPr>
            <w:tcW w:w="1809" w:type="dxa"/>
            <w:vMerge w:val="restart"/>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r w:rsidRPr="007C3E7E">
              <w:rPr>
                <w:rFonts w:eastAsia="宋体"/>
                <w:b/>
                <w:kern w:val="0"/>
                <w:sz w:val="24"/>
                <w:szCs w:val="24"/>
                <w:bdr w:val="none" w:sz="0" w:space="0" w:color="auto" w:frame="1"/>
              </w:rPr>
              <w:t>简易案件理由（可以单选，也可以多选）</w:t>
            </w:r>
          </w:p>
        </w:tc>
        <w:tc>
          <w:tcPr>
            <w:tcW w:w="6949" w:type="dxa"/>
            <w:gridSpan w:val="2"/>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kern w:val="0"/>
                <w:sz w:val="24"/>
                <w:szCs w:val="24"/>
                <w:bdr w:val="none" w:sz="0" w:space="0" w:color="auto" w:frame="1"/>
              </w:rPr>
              <w:t>□1.</w:t>
            </w:r>
            <w:r w:rsidRPr="007C3E7E">
              <w:rPr>
                <w:rFonts w:eastAsia="宋体"/>
                <w:kern w:val="0"/>
                <w:sz w:val="24"/>
                <w:szCs w:val="24"/>
                <w:bdr w:val="none" w:sz="0" w:space="0" w:color="auto" w:frame="1"/>
              </w:rPr>
              <w:t>在同一相关市场，所有参与集中的经营者所占市场份额之和小于</w:t>
            </w:r>
            <w:r w:rsidRPr="007C3E7E">
              <w:rPr>
                <w:rFonts w:eastAsia="宋体"/>
                <w:kern w:val="0"/>
                <w:sz w:val="24"/>
                <w:szCs w:val="24"/>
                <w:bdr w:val="none" w:sz="0" w:space="0" w:color="auto" w:frame="1"/>
              </w:rPr>
              <w:t>15%</w:t>
            </w:r>
            <w:r w:rsidRPr="007C3E7E">
              <w:rPr>
                <w:rFonts w:eastAsia="宋体"/>
                <w:kern w:val="0"/>
                <w:sz w:val="24"/>
                <w:szCs w:val="24"/>
                <w:bdr w:val="none" w:sz="0" w:space="0" w:color="auto" w:frame="1"/>
              </w:rPr>
              <w:t>。</w:t>
            </w:r>
          </w:p>
        </w:tc>
      </w:tr>
      <w:tr w:rsidR="00751D80" w:rsidRPr="007C3E7E" w:rsidTr="000C01C5">
        <w:trPr>
          <w:trHeight w:val="330"/>
        </w:trPr>
        <w:tc>
          <w:tcPr>
            <w:tcW w:w="1809" w:type="dxa"/>
            <w:vMerge/>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p>
        </w:tc>
        <w:tc>
          <w:tcPr>
            <w:tcW w:w="6949" w:type="dxa"/>
            <w:gridSpan w:val="2"/>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kern w:val="0"/>
                <w:sz w:val="24"/>
                <w:szCs w:val="24"/>
                <w:bdr w:val="none" w:sz="0" w:space="0" w:color="auto" w:frame="1"/>
              </w:rPr>
              <w:t>□2.</w:t>
            </w:r>
            <w:r w:rsidRPr="007C3E7E">
              <w:rPr>
                <w:rFonts w:eastAsia="宋体"/>
                <w:kern w:val="0"/>
                <w:sz w:val="24"/>
                <w:szCs w:val="24"/>
                <w:bdr w:val="none" w:sz="0" w:space="0" w:color="auto" w:frame="1"/>
              </w:rPr>
              <w:t>存在上下游关系的参与集中的经营者，在上下游市场所占的市场份额均小于</w:t>
            </w:r>
            <w:r w:rsidRPr="007C3E7E">
              <w:rPr>
                <w:rFonts w:eastAsia="宋体"/>
                <w:kern w:val="0"/>
                <w:sz w:val="24"/>
                <w:szCs w:val="24"/>
                <w:bdr w:val="none" w:sz="0" w:space="0" w:color="auto" w:frame="1"/>
              </w:rPr>
              <w:t>25%</w:t>
            </w:r>
            <w:r w:rsidRPr="007C3E7E">
              <w:rPr>
                <w:rFonts w:eastAsia="宋体"/>
                <w:kern w:val="0"/>
                <w:sz w:val="24"/>
                <w:szCs w:val="24"/>
                <w:bdr w:val="none" w:sz="0" w:space="0" w:color="auto" w:frame="1"/>
              </w:rPr>
              <w:t>。</w:t>
            </w:r>
          </w:p>
        </w:tc>
      </w:tr>
      <w:tr w:rsidR="00751D80" w:rsidRPr="007C3E7E" w:rsidTr="000C01C5">
        <w:trPr>
          <w:trHeight w:val="285"/>
        </w:trPr>
        <w:tc>
          <w:tcPr>
            <w:tcW w:w="1809" w:type="dxa"/>
            <w:vMerge/>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p>
        </w:tc>
        <w:tc>
          <w:tcPr>
            <w:tcW w:w="6949" w:type="dxa"/>
            <w:gridSpan w:val="2"/>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sz w:val="24"/>
                <w:szCs w:val="24"/>
              </w:rPr>
              <w:sym w:font="Wingdings" w:char="F0FE"/>
            </w:r>
            <w:r w:rsidRPr="007C3E7E">
              <w:rPr>
                <w:rFonts w:eastAsia="宋体"/>
                <w:kern w:val="0"/>
                <w:sz w:val="24"/>
                <w:szCs w:val="24"/>
                <w:bdr w:val="none" w:sz="0" w:space="0" w:color="auto" w:frame="1"/>
              </w:rPr>
              <w:t>3.</w:t>
            </w:r>
            <w:r w:rsidRPr="007C3E7E">
              <w:rPr>
                <w:rFonts w:eastAsia="宋体"/>
                <w:kern w:val="0"/>
                <w:sz w:val="24"/>
                <w:szCs w:val="24"/>
                <w:bdr w:val="none" w:sz="0" w:space="0" w:color="auto" w:frame="1"/>
              </w:rPr>
              <w:t>不在同一相关市场、也不存在上下游关系的参与集中的经营者，在与交易有关的每个市场所占的份额均小于</w:t>
            </w:r>
            <w:r w:rsidRPr="007C3E7E">
              <w:rPr>
                <w:rFonts w:eastAsia="宋体"/>
                <w:kern w:val="0"/>
                <w:sz w:val="24"/>
                <w:szCs w:val="24"/>
                <w:bdr w:val="none" w:sz="0" w:space="0" w:color="auto" w:frame="1"/>
              </w:rPr>
              <w:t>25%</w:t>
            </w:r>
            <w:r w:rsidRPr="007C3E7E">
              <w:rPr>
                <w:rFonts w:eastAsia="宋体"/>
                <w:kern w:val="0"/>
                <w:sz w:val="24"/>
                <w:szCs w:val="24"/>
                <w:bdr w:val="none" w:sz="0" w:space="0" w:color="auto" w:frame="1"/>
              </w:rPr>
              <w:t>。</w:t>
            </w:r>
          </w:p>
        </w:tc>
      </w:tr>
      <w:tr w:rsidR="00751D80" w:rsidRPr="007C3E7E" w:rsidTr="000C01C5">
        <w:trPr>
          <w:trHeight w:val="870"/>
        </w:trPr>
        <w:tc>
          <w:tcPr>
            <w:tcW w:w="1809" w:type="dxa"/>
            <w:vMerge/>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p>
        </w:tc>
        <w:tc>
          <w:tcPr>
            <w:tcW w:w="6949" w:type="dxa"/>
            <w:gridSpan w:val="2"/>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kern w:val="0"/>
                <w:sz w:val="24"/>
                <w:szCs w:val="24"/>
                <w:bdr w:val="none" w:sz="0" w:space="0" w:color="auto" w:frame="1"/>
              </w:rPr>
              <w:t>□4.</w:t>
            </w:r>
            <w:r w:rsidRPr="007C3E7E">
              <w:rPr>
                <w:rFonts w:eastAsia="宋体"/>
                <w:kern w:val="0"/>
                <w:sz w:val="24"/>
                <w:szCs w:val="24"/>
                <w:bdr w:val="none" w:sz="0" w:space="0" w:color="auto" w:frame="1"/>
              </w:rPr>
              <w:t>参与集中的经营者在中国境外设立合营企业，合营企业不在中国境内从事经济活动。</w:t>
            </w:r>
          </w:p>
        </w:tc>
      </w:tr>
      <w:tr w:rsidR="00751D80" w:rsidRPr="007C3E7E" w:rsidTr="000C01C5">
        <w:trPr>
          <w:trHeight w:val="264"/>
        </w:trPr>
        <w:tc>
          <w:tcPr>
            <w:tcW w:w="1809" w:type="dxa"/>
            <w:vMerge/>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p>
        </w:tc>
        <w:tc>
          <w:tcPr>
            <w:tcW w:w="6949" w:type="dxa"/>
            <w:gridSpan w:val="2"/>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kern w:val="0"/>
                <w:sz w:val="24"/>
                <w:szCs w:val="24"/>
                <w:bdr w:val="none" w:sz="0" w:space="0" w:color="auto" w:frame="1"/>
              </w:rPr>
              <w:t>□5.</w:t>
            </w:r>
            <w:r w:rsidRPr="007C3E7E">
              <w:rPr>
                <w:rFonts w:eastAsia="宋体"/>
                <w:kern w:val="0"/>
                <w:sz w:val="24"/>
                <w:szCs w:val="24"/>
                <w:bdr w:val="none" w:sz="0" w:space="0" w:color="auto" w:frame="1"/>
              </w:rPr>
              <w:t>参与集中的经营者收购境外企业股权或资产的，该境外企业不</w:t>
            </w:r>
            <w:r w:rsidRPr="007C3E7E">
              <w:rPr>
                <w:rFonts w:eastAsia="宋体"/>
                <w:kern w:val="0"/>
                <w:sz w:val="24"/>
                <w:szCs w:val="24"/>
                <w:bdr w:val="none" w:sz="0" w:space="0" w:color="auto" w:frame="1"/>
              </w:rPr>
              <w:lastRenderedPageBreak/>
              <w:t>在中国境内从事经济活动。</w:t>
            </w:r>
          </w:p>
        </w:tc>
      </w:tr>
      <w:tr w:rsidR="00751D80" w:rsidRPr="007C3E7E" w:rsidTr="000C01C5">
        <w:trPr>
          <w:trHeight w:val="345"/>
        </w:trPr>
        <w:tc>
          <w:tcPr>
            <w:tcW w:w="1809" w:type="dxa"/>
            <w:vMerge/>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p>
        </w:tc>
        <w:tc>
          <w:tcPr>
            <w:tcW w:w="6949" w:type="dxa"/>
            <w:gridSpan w:val="2"/>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kern w:val="0"/>
                <w:sz w:val="24"/>
                <w:szCs w:val="24"/>
                <w:bdr w:val="none" w:sz="0" w:space="0" w:color="auto" w:frame="1"/>
              </w:rPr>
              <w:t>□6.</w:t>
            </w:r>
            <w:r w:rsidRPr="007C3E7E">
              <w:rPr>
                <w:rFonts w:eastAsia="宋体"/>
                <w:kern w:val="0"/>
                <w:sz w:val="24"/>
                <w:szCs w:val="24"/>
                <w:bdr w:val="none" w:sz="0" w:space="0" w:color="auto" w:frame="1"/>
              </w:rPr>
              <w:t>由两个以上的经营者共同控制的合营企业，通过集中被其中一个或一个以上经营者控制。</w:t>
            </w:r>
          </w:p>
        </w:tc>
      </w:tr>
      <w:tr w:rsidR="00751D80" w:rsidRPr="007C3E7E" w:rsidTr="000C01C5">
        <w:tc>
          <w:tcPr>
            <w:tcW w:w="1809" w:type="dxa"/>
            <w:shd w:val="clear" w:color="auto" w:fill="D9D9D9"/>
            <w:vAlign w:val="center"/>
          </w:tcPr>
          <w:p w:rsidR="00751D80" w:rsidRPr="007C3E7E" w:rsidRDefault="00751D80" w:rsidP="000C01C5">
            <w:pPr>
              <w:spacing w:line="500" w:lineRule="exact"/>
              <w:jc w:val="center"/>
              <w:rPr>
                <w:rFonts w:eastAsia="宋体"/>
                <w:b/>
                <w:kern w:val="0"/>
                <w:sz w:val="24"/>
                <w:szCs w:val="24"/>
                <w:bdr w:val="none" w:sz="0" w:space="0" w:color="auto" w:frame="1"/>
              </w:rPr>
            </w:pPr>
            <w:r w:rsidRPr="007C3E7E">
              <w:rPr>
                <w:rFonts w:eastAsia="宋体"/>
                <w:b/>
                <w:kern w:val="0"/>
                <w:sz w:val="24"/>
                <w:szCs w:val="24"/>
                <w:bdr w:val="none" w:sz="0" w:space="0" w:color="auto" w:frame="1"/>
              </w:rPr>
              <w:t>备注</w:t>
            </w:r>
          </w:p>
        </w:tc>
        <w:tc>
          <w:tcPr>
            <w:tcW w:w="6949" w:type="dxa"/>
            <w:gridSpan w:val="2"/>
          </w:tcPr>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hint="eastAsia"/>
                <w:kern w:val="0"/>
                <w:sz w:val="24"/>
                <w:szCs w:val="24"/>
                <w:bdr w:val="none" w:sz="0" w:space="0" w:color="auto" w:frame="1"/>
              </w:rPr>
              <w:t>相关产品市场：</w:t>
            </w:r>
          </w:p>
          <w:p w:rsidR="00751D80" w:rsidRPr="007C3E7E" w:rsidRDefault="00751D80" w:rsidP="00751D80">
            <w:pPr>
              <w:pStyle w:val="ac"/>
              <w:numPr>
                <w:ilvl w:val="0"/>
                <w:numId w:val="9"/>
              </w:numPr>
              <w:spacing w:line="500" w:lineRule="exact"/>
              <w:ind w:firstLineChars="0"/>
              <w:rPr>
                <w:rFonts w:eastAsia="宋体"/>
                <w:kern w:val="0"/>
                <w:sz w:val="24"/>
                <w:szCs w:val="24"/>
                <w:bdr w:val="none" w:sz="0" w:space="0" w:color="auto" w:frame="1"/>
              </w:rPr>
            </w:pPr>
            <w:r w:rsidRPr="007C3E7E">
              <w:rPr>
                <w:rFonts w:eastAsia="宋体" w:hint="eastAsia"/>
                <w:kern w:val="0"/>
                <w:sz w:val="24"/>
                <w:szCs w:val="24"/>
                <w:bdr w:val="none" w:sz="0" w:space="0" w:color="auto" w:frame="1"/>
              </w:rPr>
              <w:t>催化剂的生产和供应；</w:t>
            </w:r>
          </w:p>
          <w:p w:rsidR="00751D80" w:rsidRPr="007C3E7E" w:rsidRDefault="00751D80" w:rsidP="00751D80">
            <w:pPr>
              <w:pStyle w:val="ac"/>
              <w:numPr>
                <w:ilvl w:val="0"/>
                <w:numId w:val="9"/>
              </w:numPr>
              <w:spacing w:line="500" w:lineRule="exact"/>
              <w:ind w:firstLineChars="0"/>
              <w:rPr>
                <w:rFonts w:eastAsia="宋体"/>
                <w:kern w:val="0"/>
                <w:sz w:val="24"/>
                <w:szCs w:val="24"/>
                <w:bdr w:val="none" w:sz="0" w:space="0" w:color="auto" w:frame="1"/>
              </w:rPr>
            </w:pPr>
            <w:r w:rsidRPr="007C3E7E">
              <w:rPr>
                <w:rFonts w:eastAsia="宋体" w:hint="eastAsia"/>
                <w:kern w:val="0"/>
                <w:sz w:val="24"/>
                <w:szCs w:val="24"/>
                <w:bdr w:val="none" w:sz="0" w:space="0" w:color="auto" w:frame="1"/>
              </w:rPr>
              <w:t>催化技术许可</w:t>
            </w:r>
          </w:p>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hint="eastAsia"/>
                <w:kern w:val="0"/>
                <w:sz w:val="24"/>
                <w:szCs w:val="24"/>
                <w:bdr w:val="none" w:sz="0" w:space="0" w:color="auto" w:frame="1"/>
              </w:rPr>
              <w:t>相关地域市场：全球</w:t>
            </w:r>
          </w:p>
          <w:p w:rsidR="00751D80" w:rsidRPr="007C3E7E" w:rsidRDefault="00751D80" w:rsidP="000C01C5">
            <w:pPr>
              <w:spacing w:line="500" w:lineRule="exact"/>
              <w:rPr>
                <w:rFonts w:eastAsia="宋体"/>
                <w:kern w:val="0"/>
                <w:sz w:val="24"/>
                <w:szCs w:val="24"/>
                <w:bdr w:val="none" w:sz="0" w:space="0" w:color="auto" w:frame="1"/>
              </w:rPr>
            </w:pPr>
            <w:r w:rsidRPr="007C3E7E">
              <w:rPr>
                <w:rFonts w:eastAsia="宋体" w:hint="eastAsia"/>
                <w:kern w:val="0"/>
                <w:sz w:val="24"/>
                <w:szCs w:val="24"/>
                <w:bdr w:val="none" w:sz="0" w:space="0" w:color="auto" w:frame="1"/>
              </w:rPr>
              <w:t>市场份额：</w:t>
            </w:r>
          </w:p>
          <w:p w:rsidR="00751D80" w:rsidRPr="007C3E7E" w:rsidRDefault="00751D80" w:rsidP="00657DFE">
            <w:pPr>
              <w:pStyle w:val="ac"/>
              <w:numPr>
                <w:ilvl w:val="0"/>
                <w:numId w:val="10"/>
              </w:numPr>
              <w:spacing w:line="500" w:lineRule="exact"/>
              <w:ind w:firstLineChars="0"/>
              <w:rPr>
                <w:rFonts w:eastAsia="宋体"/>
                <w:kern w:val="0"/>
                <w:sz w:val="24"/>
                <w:szCs w:val="24"/>
                <w:bdr w:val="none" w:sz="0" w:space="0" w:color="auto" w:frame="1"/>
              </w:rPr>
            </w:pPr>
            <w:r w:rsidRPr="007C3E7E">
              <w:rPr>
                <w:rFonts w:eastAsia="宋体" w:hint="eastAsia"/>
                <w:kern w:val="0"/>
                <w:sz w:val="24"/>
                <w:szCs w:val="24"/>
                <w:bdr w:val="none" w:sz="0" w:space="0" w:color="auto" w:frame="1"/>
              </w:rPr>
              <w:t>催化剂的生产和供应</w:t>
            </w:r>
            <w:r w:rsidR="00657DFE" w:rsidRPr="007C3E7E">
              <w:rPr>
                <w:rFonts w:eastAsia="宋体" w:hint="eastAsia"/>
                <w:kern w:val="0"/>
                <w:sz w:val="24"/>
                <w:szCs w:val="24"/>
                <w:bdr w:val="none" w:sz="0" w:space="0" w:color="auto" w:frame="1"/>
              </w:rPr>
              <w:t>：</w:t>
            </w:r>
            <w:r w:rsidR="00657DFE" w:rsidRPr="007C3E7E">
              <w:rPr>
                <w:rFonts w:eastAsia="宋体" w:hint="eastAsia"/>
                <w:kern w:val="0"/>
                <w:sz w:val="24"/>
                <w:szCs w:val="24"/>
                <w:bdr w:val="none" w:sz="0" w:space="0" w:color="auto" w:frame="1"/>
              </w:rPr>
              <w:t>[</w:t>
            </w:r>
            <w:r w:rsidR="00657DFE" w:rsidRPr="007C3E7E">
              <w:rPr>
                <w:rFonts w:eastAsia="宋体"/>
                <w:kern w:val="0"/>
                <w:sz w:val="24"/>
                <w:szCs w:val="24"/>
                <w:bdr w:val="none" w:sz="0" w:space="0" w:color="auto" w:frame="1"/>
              </w:rPr>
              <w:t>1</w:t>
            </w:r>
            <w:r w:rsidR="00657DFE" w:rsidRPr="007C3E7E">
              <w:rPr>
                <w:rFonts w:eastAsia="宋体" w:hint="eastAsia"/>
                <w:kern w:val="0"/>
                <w:sz w:val="24"/>
                <w:szCs w:val="24"/>
                <w:bdr w:val="none" w:sz="0" w:space="0" w:color="auto" w:frame="1"/>
              </w:rPr>
              <w:t>-</w:t>
            </w:r>
            <w:r w:rsidR="00657DFE" w:rsidRPr="007C3E7E">
              <w:rPr>
                <w:rFonts w:eastAsia="宋体"/>
                <w:kern w:val="0"/>
                <w:sz w:val="24"/>
                <w:szCs w:val="24"/>
                <w:bdr w:val="none" w:sz="0" w:space="0" w:color="auto" w:frame="1"/>
              </w:rPr>
              <w:t>5</w:t>
            </w:r>
            <w:r w:rsidR="00657DFE" w:rsidRPr="007C3E7E">
              <w:rPr>
                <w:rFonts w:eastAsia="宋体" w:hint="eastAsia"/>
                <w:kern w:val="0"/>
                <w:sz w:val="24"/>
                <w:szCs w:val="24"/>
                <w:bdr w:val="none" w:sz="0" w:space="0" w:color="auto" w:frame="1"/>
              </w:rPr>
              <w:t>]%</w:t>
            </w:r>
          </w:p>
          <w:p w:rsidR="00751D80" w:rsidRPr="007C3E7E" w:rsidRDefault="00751D80" w:rsidP="00657DFE">
            <w:pPr>
              <w:pStyle w:val="ac"/>
              <w:numPr>
                <w:ilvl w:val="0"/>
                <w:numId w:val="10"/>
              </w:numPr>
              <w:spacing w:line="500" w:lineRule="exact"/>
              <w:ind w:firstLineChars="0"/>
              <w:rPr>
                <w:rFonts w:eastAsia="宋体"/>
                <w:kern w:val="0"/>
                <w:sz w:val="24"/>
                <w:szCs w:val="24"/>
                <w:bdr w:val="none" w:sz="0" w:space="0" w:color="auto" w:frame="1"/>
              </w:rPr>
            </w:pPr>
            <w:r w:rsidRPr="007C3E7E">
              <w:rPr>
                <w:rFonts w:eastAsia="宋体" w:hint="eastAsia"/>
                <w:kern w:val="0"/>
                <w:sz w:val="24"/>
                <w:szCs w:val="24"/>
                <w:bdr w:val="none" w:sz="0" w:space="0" w:color="auto" w:frame="1"/>
              </w:rPr>
              <w:t>催化技术许可</w:t>
            </w:r>
            <w:r w:rsidR="00657DFE" w:rsidRPr="007C3E7E">
              <w:rPr>
                <w:rFonts w:eastAsia="宋体" w:hint="eastAsia"/>
                <w:kern w:val="0"/>
                <w:sz w:val="24"/>
                <w:szCs w:val="24"/>
                <w:bdr w:val="none" w:sz="0" w:space="0" w:color="auto" w:frame="1"/>
              </w:rPr>
              <w:t>：</w:t>
            </w:r>
            <w:r w:rsidR="00657DFE" w:rsidRPr="007C3E7E">
              <w:rPr>
                <w:rFonts w:eastAsia="宋体" w:hint="eastAsia"/>
                <w:kern w:val="0"/>
                <w:sz w:val="24"/>
                <w:szCs w:val="24"/>
                <w:bdr w:val="none" w:sz="0" w:space="0" w:color="auto" w:frame="1"/>
              </w:rPr>
              <w:t>[</w:t>
            </w:r>
            <w:r w:rsidR="00657DFE" w:rsidRPr="007C3E7E">
              <w:rPr>
                <w:rFonts w:eastAsia="宋体"/>
                <w:kern w:val="0"/>
                <w:sz w:val="24"/>
                <w:szCs w:val="24"/>
                <w:bdr w:val="none" w:sz="0" w:space="0" w:color="auto" w:frame="1"/>
              </w:rPr>
              <w:t>1</w:t>
            </w:r>
            <w:r w:rsidR="00657DFE" w:rsidRPr="007C3E7E">
              <w:rPr>
                <w:rFonts w:eastAsia="宋体" w:hint="eastAsia"/>
                <w:kern w:val="0"/>
                <w:sz w:val="24"/>
                <w:szCs w:val="24"/>
                <w:bdr w:val="none" w:sz="0" w:space="0" w:color="auto" w:frame="1"/>
              </w:rPr>
              <w:t>-</w:t>
            </w:r>
            <w:r w:rsidR="00657DFE" w:rsidRPr="007C3E7E">
              <w:rPr>
                <w:rFonts w:eastAsia="宋体"/>
                <w:kern w:val="0"/>
                <w:sz w:val="24"/>
                <w:szCs w:val="24"/>
                <w:bdr w:val="none" w:sz="0" w:space="0" w:color="auto" w:frame="1"/>
              </w:rPr>
              <w:t>5</w:t>
            </w:r>
            <w:r w:rsidR="00657DFE" w:rsidRPr="007C3E7E">
              <w:rPr>
                <w:rFonts w:eastAsia="宋体" w:hint="eastAsia"/>
                <w:kern w:val="0"/>
                <w:sz w:val="24"/>
                <w:szCs w:val="24"/>
                <w:bdr w:val="none" w:sz="0" w:space="0" w:color="auto" w:frame="1"/>
              </w:rPr>
              <w:t>]%</w:t>
            </w:r>
          </w:p>
        </w:tc>
      </w:tr>
    </w:tbl>
    <w:p w:rsidR="00751D80" w:rsidRPr="007C3E7E" w:rsidRDefault="00751D80" w:rsidP="00751D80">
      <w:pPr>
        <w:snapToGrid w:val="0"/>
        <w:spacing w:line="240" w:lineRule="exact"/>
        <w:jc w:val="left"/>
        <w:rPr>
          <w:rFonts w:eastAsia="宋体"/>
          <w:sz w:val="24"/>
          <w:szCs w:val="24"/>
        </w:rPr>
      </w:pPr>
    </w:p>
    <w:p w:rsidR="00751D80" w:rsidRPr="007C3E7E" w:rsidRDefault="00751D80" w:rsidP="00751D80">
      <w:pPr>
        <w:snapToGrid w:val="0"/>
        <w:spacing w:after="240" w:line="240" w:lineRule="exact"/>
        <w:jc w:val="left"/>
        <w:rPr>
          <w:rFonts w:eastAsia="宋体"/>
          <w:sz w:val="24"/>
          <w:szCs w:val="24"/>
        </w:rPr>
      </w:pPr>
    </w:p>
    <w:p w:rsidR="00751D80" w:rsidRPr="007C3E7E" w:rsidRDefault="00751D80" w:rsidP="00751D80">
      <w:pPr>
        <w:snapToGrid w:val="0"/>
        <w:spacing w:after="240" w:line="240" w:lineRule="exact"/>
        <w:jc w:val="left"/>
        <w:rPr>
          <w:rFonts w:eastAsia="宋体"/>
          <w:sz w:val="24"/>
          <w:szCs w:val="24"/>
        </w:rPr>
      </w:pPr>
      <w:r w:rsidRPr="007C3E7E">
        <w:rPr>
          <w:rFonts w:eastAsia="宋体"/>
          <w:sz w:val="24"/>
          <w:szCs w:val="24"/>
        </w:rPr>
        <w:t>注解：</w:t>
      </w:r>
    </w:p>
    <w:p w:rsidR="00751D80" w:rsidRPr="007C3E7E" w:rsidRDefault="00751D80" w:rsidP="00751D80">
      <w:pPr>
        <w:pStyle w:val="ac"/>
        <w:numPr>
          <w:ilvl w:val="0"/>
          <w:numId w:val="7"/>
        </w:numPr>
        <w:snapToGrid w:val="0"/>
        <w:spacing w:after="240" w:line="360" w:lineRule="auto"/>
        <w:ind w:firstLineChars="0"/>
        <w:jc w:val="left"/>
        <w:rPr>
          <w:rFonts w:eastAsia="宋体"/>
          <w:sz w:val="24"/>
          <w:szCs w:val="24"/>
        </w:rPr>
      </w:pPr>
      <w:r w:rsidRPr="007C3E7E">
        <w:rPr>
          <w:rFonts w:eastAsia="宋体"/>
          <w:sz w:val="24"/>
          <w:szCs w:val="24"/>
        </w:rPr>
        <w:t>申报方申请简易案件的理由是基于</w:t>
      </w:r>
      <w:r w:rsidRPr="007C3E7E">
        <w:rPr>
          <w:rFonts w:eastAsia="宋体"/>
          <w:sz w:val="24"/>
          <w:szCs w:val="24"/>
        </w:rPr>
        <w:t>1-3</w:t>
      </w:r>
      <w:r w:rsidRPr="007C3E7E">
        <w:rPr>
          <w:rFonts w:eastAsia="宋体"/>
          <w:sz w:val="24"/>
          <w:szCs w:val="24"/>
        </w:rPr>
        <w:t>项时，须在备注中说明界定的相关商品市场和相关地域市场（无须阐述界定理由），以及相关市场份额；市场份额可以区间形式提供，区间幅度不应超过</w:t>
      </w:r>
      <w:r w:rsidRPr="007C3E7E">
        <w:rPr>
          <w:rFonts w:eastAsia="宋体"/>
          <w:sz w:val="24"/>
          <w:szCs w:val="24"/>
        </w:rPr>
        <w:t>5%</w:t>
      </w:r>
      <w:r w:rsidRPr="007C3E7E">
        <w:rPr>
          <w:rFonts w:eastAsia="宋体"/>
          <w:sz w:val="24"/>
          <w:szCs w:val="24"/>
        </w:rPr>
        <w:t>。</w:t>
      </w:r>
      <w:r w:rsidRPr="007C3E7E">
        <w:rPr>
          <w:rFonts w:eastAsia="宋体"/>
          <w:sz w:val="24"/>
          <w:szCs w:val="24"/>
        </w:rPr>
        <w:t>1-3</w:t>
      </w:r>
      <w:r w:rsidRPr="007C3E7E">
        <w:rPr>
          <w:rFonts w:eastAsia="宋体"/>
          <w:sz w:val="24"/>
          <w:szCs w:val="24"/>
        </w:rPr>
        <w:t>项可以多选，也可单选；</w:t>
      </w:r>
      <w:proofErr w:type="gramStart"/>
      <w:r w:rsidRPr="007C3E7E">
        <w:rPr>
          <w:rFonts w:eastAsia="宋体"/>
          <w:sz w:val="24"/>
          <w:szCs w:val="24"/>
        </w:rPr>
        <w:t>没有勾选的</w:t>
      </w:r>
      <w:proofErr w:type="gramEnd"/>
      <w:r w:rsidRPr="007C3E7E">
        <w:rPr>
          <w:rFonts w:eastAsia="宋体"/>
          <w:sz w:val="24"/>
          <w:szCs w:val="24"/>
        </w:rPr>
        <w:t>，视为本集中不涉及该类型交易。</w:t>
      </w:r>
    </w:p>
    <w:p w:rsidR="00751D80" w:rsidRPr="007C3E7E" w:rsidRDefault="00751D80" w:rsidP="00751D80">
      <w:pPr>
        <w:pStyle w:val="ac"/>
        <w:numPr>
          <w:ilvl w:val="0"/>
          <w:numId w:val="7"/>
        </w:numPr>
        <w:snapToGrid w:val="0"/>
        <w:spacing w:after="240" w:line="360" w:lineRule="auto"/>
        <w:ind w:firstLineChars="0"/>
        <w:jc w:val="left"/>
        <w:rPr>
          <w:rFonts w:eastAsia="宋体"/>
          <w:sz w:val="24"/>
          <w:szCs w:val="24"/>
        </w:rPr>
      </w:pPr>
      <w:r w:rsidRPr="007C3E7E">
        <w:rPr>
          <w:rFonts w:eastAsia="宋体"/>
          <w:sz w:val="24"/>
          <w:szCs w:val="24"/>
        </w:rPr>
        <w:t>申报方申请简易案件的理由是基于第</w:t>
      </w:r>
      <w:r w:rsidRPr="007C3E7E">
        <w:rPr>
          <w:rFonts w:eastAsia="宋体"/>
          <w:sz w:val="24"/>
          <w:szCs w:val="24"/>
        </w:rPr>
        <w:t>4</w:t>
      </w:r>
      <w:r w:rsidRPr="007C3E7E">
        <w:rPr>
          <w:rFonts w:eastAsia="宋体"/>
          <w:sz w:val="24"/>
          <w:szCs w:val="24"/>
        </w:rPr>
        <w:t>项、第</w:t>
      </w:r>
      <w:r w:rsidRPr="007C3E7E">
        <w:rPr>
          <w:rFonts w:eastAsia="宋体"/>
          <w:sz w:val="24"/>
          <w:szCs w:val="24"/>
        </w:rPr>
        <w:t>5</w:t>
      </w:r>
      <w:r w:rsidRPr="007C3E7E">
        <w:rPr>
          <w:rFonts w:eastAsia="宋体"/>
          <w:sz w:val="24"/>
          <w:szCs w:val="24"/>
        </w:rPr>
        <w:t>项时，无须在备注中说明相关市场和市场份额。</w:t>
      </w:r>
    </w:p>
    <w:p w:rsidR="00751D80" w:rsidRPr="007C3E7E" w:rsidRDefault="00751D80" w:rsidP="00751D80">
      <w:pPr>
        <w:pStyle w:val="ac"/>
        <w:numPr>
          <w:ilvl w:val="0"/>
          <w:numId w:val="7"/>
        </w:numPr>
        <w:snapToGrid w:val="0"/>
        <w:spacing w:after="240" w:line="360" w:lineRule="auto"/>
        <w:ind w:firstLineChars="0"/>
        <w:jc w:val="left"/>
        <w:rPr>
          <w:rFonts w:eastAsia="宋体"/>
          <w:sz w:val="24"/>
          <w:szCs w:val="24"/>
        </w:rPr>
      </w:pPr>
      <w:r w:rsidRPr="007C3E7E">
        <w:rPr>
          <w:rFonts w:eastAsia="宋体"/>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7C3E7E">
        <w:rPr>
          <w:rFonts w:eastAsia="宋体"/>
          <w:sz w:val="24"/>
          <w:szCs w:val="24"/>
        </w:rPr>
        <w:t>同时勾选第</w:t>
      </w:r>
      <w:r w:rsidRPr="007C3E7E">
        <w:rPr>
          <w:rFonts w:eastAsia="宋体"/>
          <w:sz w:val="24"/>
          <w:szCs w:val="24"/>
        </w:rPr>
        <w:t>1</w:t>
      </w:r>
      <w:r w:rsidRPr="007C3E7E">
        <w:rPr>
          <w:rFonts w:eastAsia="宋体"/>
          <w:sz w:val="24"/>
          <w:szCs w:val="24"/>
        </w:rPr>
        <w:t>项</w:t>
      </w:r>
      <w:proofErr w:type="gramEnd"/>
      <w:r w:rsidRPr="007C3E7E">
        <w:rPr>
          <w:rFonts w:eastAsia="宋体"/>
          <w:sz w:val="24"/>
          <w:szCs w:val="24"/>
        </w:rPr>
        <w:t>和第</w:t>
      </w:r>
      <w:r w:rsidRPr="007C3E7E">
        <w:rPr>
          <w:rFonts w:eastAsia="宋体"/>
          <w:sz w:val="24"/>
          <w:szCs w:val="24"/>
        </w:rPr>
        <w:t>6</w:t>
      </w:r>
      <w:r w:rsidRPr="007C3E7E">
        <w:rPr>
          <w:rFonts w:eastAsia="宋体"/>
          <w:sz w:val="24"/>
          <w:szCs w:val="24"/>
        </w:rPr>
        <w:t>项理由，并在备注中说明界定的相关商品市场和相关地域市场（无须阐述界定理由），以及相关市场份额。市场份额可以区间形式提供，区间幅度不应超过</w:t>
      </w:r>
      <w:r w:rsidRPr="007C3E7E">
        <w:rPr>
          <w:rFonts w:eastAsia="宋体"/>
          <w:sz w:val="24"/>
          <w:szCs w:val="24"/>
        </w:rPr>
        <w:t>5%</w:t>
      </w:r>
      <w:r w:rsidRPr="007C3E7E">
        <w:rPr>
          <w:rFonts w:eastAsia="宋体"/>
          <w:sz w:val="24"/>
          <w:szCs w:val="24"/>
        </w:rPr>
        <w:t>。</w:t>
      </w:r>
    </w:p>
    <w:sectPr w:rsidR="00751D80" w:rsidRPr="007C3E7E" w:rsidSect="00C82D5C">
      <w:headerReference w:type="default" r:id="rId7"/>
      <w:footerReference w:type="even" r:id="rId8"/>
      <w:footerReference w:type="default" r:id="rId9"/>
      <w:footerReference w:type="first" r:id="rId1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3C85" w:rsidRDefault="00FD3C85">
      <w:r>
        <w:separator/>
      </w:r>
    </w:p>
  </w:endnote>
  <w:endnote w:type="continuationSeparator" w:id="0">
    <w:p w:rsidR="00FD3C85" w:rsidRDefault="00FD3C8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778B" w:rsidRDefault="00864D40">
    <w:pPr>
      <w:pStyle w:val="DocId"/>
    </w:pPr>
    <w:fldSimple w:instr=" DOCPROPERTY DOCXDOCID DMS=InterwovenIManage Format=[&lt;&lt;LIB&gt;&gt; &lt;&lt;NUM&gt;&gt;_&lt;&lt;VER&gt;&gt;] PRESERVELOCATION \* MERGEFORMAT ">
      <w:r w:rsidR="006F7968">
        <w:t>[BRUSSELS 621754_4]</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778B" w:rsidRDefault="00864D40">
    <w:pPr>
      <w:pStyle w:val="a7"/>
      <w:jc w:val="center"/>
    </w:pPr>
    <w:r>
      <w:rPr>
        <w:b/>
        <w:sz w:val="24"/>
        <w:szCs w:val="24"/>
      </w:rPr>
      <w:fldChar w:fldCharType="begin"/>
    </w:r>
    <w:r w:rsidR="006F7968">
      <w:rPr>
        <w:b/>
      </w:rPr>
      <w:instrText>PAGE</w:instrText>
    </w:r>
    <w:r>
      <w:rPr>
        <w:b/>
        <w:sz w:val="24"/>
        <w:szCs w:val="24"/>
      </w:rPr>
      <w:fldChar w:fldCharType="separate"/>
    </w:r>
    <w:r w:rsidR="007C3E7E">
      <w:rPr>
        <w:b/>
        <w:noProof/>
      </w:rPr>
      <w:t>1</w:t>
    </w:r>
    <w:r>
      <w:rPr>
        <w:b/>
        <w:sz w:val="24"/>
        <w:szCs w:val="24"/>
      </w:rPr>
      <w:fldChar w:fldCharType="end"/>
    </w:r>
    <w:r w:rsidR="006F7968">
      <w:rPr>
        <w:lang w:val="zh-CN"/>
      </w:rPr>
      <w:t xml:space="preserve"> </w:t>
    </w:r>
    <w:r w:rsidR="006F7968">
      <w:rPr>
        <w:lang w:val="zh-CN"/>
      </w:rPr>
      <w:t xml:space="preserve">/ </w:t>
    </w:r>
    <w:r>
      <w:rPr>
        <w:b/>
        <w:sz w:val="24"/>
        <w:szCs w:val="24"/>
      </w:rPr>
      <w:fldChar w:fldCharType="begin"/>
    </w:r>
    <w:r w:rsidR="006F7968">
      <w:rPr>
        <w:b/>
      </w:rPr>
      <w:instrText>NUMPAGES</w:instrText>
    </w:r>
    <w:r>
      <w:rPr>
        <w:b/>
        <w:sz w:val="24"/>
        <w:szCs w:val="24"/>
      </w:rPr>
      <w:fldChar w:fldCharType="separate"/>
    </w:r>
    <w:r w:rsidR="007C3E7E">
      <w:rPr>
        <w:b/>
        <w:noProof/>
      </w:rPr>
      <w:t>2</w:t>
    </w:r>
    <w:r>
      <w:rPr>
        <w:b/>
        <w:sz w:val="24"/>
        <w:szCs w:val="24"/>
      </w:rPr>
      <w:fldChar w:fldCharType="end"/>
    </w:r>
  </w:p>
  <w:p w:rsidR="00D6778B" w:rsidRDefault="00D6778B">
    <w:pPr>
      <w:pStyle w:val="DocId"/>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778B" w:rsidRDefault="00864D40">
    <w:pPr>
      <w:pStyle w:val="DocId"/>
    </w:pPr>
    <w:fldSimple w:instr=" DOCPROPERTY DOCXDOCID DMS=InterwovenIManage Format=[&lt;&lt;LIB&gt;&gt; &lt;&lt;NUM&gt;&gt;_&lt;&lt;VER&gt;&gt;] PRESERVELOCATION \* MERGEFORMAT ">
      <w:r w:rsidR="006F7968">
        <w:t>[BRUSSELS 621754_4]</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3C85" w:rsidRDefault="00FD3C85">
      <w:r>
        <w:separator/>
      </w:r>
    </w:p>
  </w:footnote>
  <w:footnote w:type="continuationSeparator" w:id="0">
    <w:p w:rsidR="00FD3C85" w:rsidRDefault="00FD3C8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778B" w:rsidRDefault="00D6778B">
    <w:pPr>
      <w:pStyle w:val="a6"/>
      <w:wordWrap w:val="0"/>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21598C"/>
    <w:multiLevelType w:val="hybridMultilevel"/>
    <w:tmpl w:val="415E0D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80E7E2C"/>
    <w:multiLevelType w:val="hybridMultilevel"/>
    <w:tmpl w:val="58BC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FF7B7B"/>
    <w:multiLevelType w:val="hybridMultilevel"/>
    <w:tmpl w:val="E970EACE"/>
    <w:lvl w:ilvl="0" w:tplc="F24A99B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53876A6"/>
    <w:multiLevelType w:val="hybridMultilevel"/>
    <w:tmpl w:val="E970EACE"/>
    <w:lvl w:ilvl="0" w:tplc="F24A99B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88205CC"/>
    <w:multiLevelType w:val="hybridMultilevel"/>
    <w:tmpl w:val="415E0D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E6C4C7D"/>
    <w:multiLevelType w:val="hybridMultilevel"/>
    <w:tmpl w:val="BC800910"/>
    <w:lvl w:ilvl="0" w:tplc="6A7230E8">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4EF313AE"/>
    <w:multiLevelType w:val="hybridMultilevel"/>
    <w:tmpl w:val="415E0D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0326695"/>
    <w:multiLevelType w:val="hybridMultilevel"/>
    <w:tmpl w:val="AF7817B8"/>
    <w:lvl w:ilvl="0" w:tplc="BDCA83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52F70BA6"/>
    <w:multiLevelType w:val="hybridMultilevel"/>
    <w:tmpl w:val="476A14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FFC4D34"/>
    <w:multiLevelType w:val="hybridMultilevel"/>
    <w:tmpl w:val="35D8F43E"/>
    <w:lvl w:ilvl="0" w:tplc="14207766">
      <w:start w:val="1"/>
      <w:numFmt w:val="decimal"/>
      <w:lvlText w:val="%1."/>
      <w:lvlJc w:val="left"/>
      <w:pPr>
        <w:ind w:left="420" w:hanging="420"/>
      </w:pPr>
    </w:lvl>
    <w:lvl w:ilvl="1" w:tplc="0EFC4F0A" w:tentative="1">
      <w:start w:val="1"/>
      <w:numFmt w:val="lowerLetter"/>
      <w:lvlText w:val="%2)"/>
      <w:lvlJc w:val="left"/>
      <w:pPr>
        <w:ind w:left="840" w:hanging="420"/>
      </w:pPr>
    </w:lvl>
    <w:lvl w:ilvl="2" w:tplc="B1F8F916" w:tentative="1">
      <w:start w:val="1"/>
      <w:numFmt w:val="lowerRoman"/>
      <w:lvlText w:val="%3."/>
      <w:lvlJc w:val="right"/>
      <w:pPr>
        <w:ind w:left="1260" w:hanging="420"/>
      </w:pPr>
    </w:lvl>
    <w:lvl w:ilvl="3" w:tplc="8138AC28" w:tentative="1">
      <w:start w:val="1"/>
      <w:numFmt w:val="decimal"/>
      <w:lvlText w:val="%4."/>
      <w:lvlJc w:val="left"/>
      <w:pPr>
        <w:ind w:left="1680" w:hanging="420"/>
      </w:pPr>
    </w:lvl>
    <w:lvl w:ilvl="4" w:tplc="F9E0D022" w:tentative="1">
      <w:start w:val="1"/>
      <w:numFmt w:val="lowerLetter"/>
      <w:lvlText w:val="%5)"/>
      <w:lvlJc w:val="left"/>
      <w:pPr>
        <w:ind w:left="2100" w:hanging="420"/>
      </w:pPr>
    </w:lvl>
    <w:lvl w:ilvl="5" w:tplc="281C21BC" w:tentative="1">
      <w:start w:val="1"/>
      <w:numFmt w:val="lowerRoman"/>
      <w:lvlText w:val="%6."/>
      <w:lvlJc w:val="right"/>
      <w:pPr>
        <w:ind w:left="2520" w:hanging="420"/>
      </w:pPr>
    </w:lvl>
    <w:lvl w:ilvl="6" w:tplc="77AA311A" w:tentative="1">
      <w:start w:val="1"/>
      <w:numFmt w:val="decimal"/>
      <w:lvlText w:val="%7."/>
      <w:lvlJc w:val="left"/>
      <w:pPr>
        <w:ind w:left="2940" w:hanging="420"/>
      </w:pPr>
    </w:lvl>
    <w:lvl w:ilvl="7" w:tplc="02BAF41C" w:tentative="1">
      <w:start w:val="1"/>
      <w:numFmt w:val="lowerLetter"/>
      <w:lvlText w:val="%8)"/>
      <w:lvlJc w:val="left"/>
      <w:pPr>
        <w:ind w:left="3360" w:hanging="420"/>
      </w:pPr>
    </w:lvl>
    <w:lvl w:ilvl="8" w:tplc="57ACBDE8" w:tentative="1">
      <w:start w:val="1"/>
      <w:numFmt w:val="lowerRoman"/>
      <w:lvlText w:val="%9."/>
      <w:lvlJc w:val="right"/>
      <w:pPr>
        <w:ind w:left="3780" w:hanging="420"/>
      </w:pPr>
    </w:lvl>
  </w:abstractNum>
  <w:num w:numId="1">
    <w:abstractNumId w:val="9"/>
  </w:num>
  <w:num w:numId="2">
    <w:abstractNumId w:val="5"/>
  </w:num>
  <w:num w:numId="3">
    <w:abstractNumId w:val="4"/>
  </w:num>
  <w:num w:numId="4">
    <w:abstractNumId w:val="0"/>
  </w:num>
  <w:num w:numId="5">
    <w:abstractNumId w:val="8"/>
  </w:num>
  <w:num w:numId="6">
    <w:abstractNumId w:val="6"/>
  </w:num>
  <w:num w:numId="7">
    <w:abstractNumId w:val="7"/>
  </w:num>
  <w:num w:numId="8">
    <w:abstractNumId w:val="1"/>
  </w:num>
  <w:num w:numId="9">
    <w:abstractNumId w:val="2"/>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6778B"/>
    <w:rsid w:val="00007061"/>
    <w:rsid w:val="0005462A"/>
    <w:rsid w:val="000C558B"/>
    <w:rsid w:val="001A160E"/>
    <w:rsid w:val="001C7EE1"/>
    <w:rsid w:val="002B3DEA"/>
    <w:rsid w:val="00303A7E"/>
    <w:rsid w:val="00313079"/>
    <w:rsid w:val="00315FD7"/>
    <w:rsid w:val="0041322C"/>
    <w:rsid w:val="00482EF2"/>
    <w:rsid w:val="004A4D20"/>
    <w:rsid w:val="004A6BF8"/>
    <w:rsid w:val="004B109C"/>
    <w:rsid w:val="004B6E39"/>
    <w:rsid w:val="00514940"/>
    <w:rsid w:val="00526246"/>
    <w:rsid w:val="005843DE"/>
    <w:rsid w:val="005B257B"/>
    <w:rsid w:val="005D0857"/>
    <w:rsid w:val="006024A8"/>
    <w:rsid w:val="00613B34"/>
    <w:rsid w:val="00657DFE"/>
    <w:rsid w:val="006A6DE6"/>
    <w:rsid w:val="006C4EE1"/>
    <w:rsid w:val="006F7968"/>
    <w:rsid w:val="00725847"/>
    <w:rsid w:val="0074536F"/>
    <w:rsid w:val="00751D80"/>
    <w:rsid w:val="0077797F"/>
    <w:rsid w:val="007C3E7E"/>
    <w:rsid w:val="007E4321"/>
    <w:rsid w:val="007E4BB2"/>
    <w:rsid w:val="00812FF4"/>
    <w:rsid w:val="0083410B"/>
    <w:rsid w:val="0084203B"/>
    <w:rsid w:val="008426B8"/>
    <w:rsid w:val="00864D40"/>
    <w:rsid w:val="008E2E40"/>
    <w:rsid w:val="009015F0"/>
    <w:rsid w:val="009D46AD"/>
    <w:rsid w:val="00A3788A"/>
    <w:rsid w:val="00A96035"/>
    <w:rsid w:val="00B33031"/>
    <w:rsid w:val="00B36128"/>
    <w:rsid w:val="00C155EF"/>
    <w:rsid w:val="00C82D5C"/>
    <w:rsid w:val="00D6778B"/>
    <w:rsid w:val="00D90B1F"/>
    <w:rsid w:val="00D94857"/>
    <w:rsid w:val="00DD0D07"/>
    <w:rsid w:val="00E04C45"/>
    <w:rsid w:val="00E70CE7"/>
    <w:rsid w:val="00E902C6"/>
    <w:rsid w:val="00ED6CCE"/>
    <w:rsid w:val="00F239C4"/>
    <w:rsid w:val="00F31F64"/>
    <w:rsid w:val="00FC0B01"/>
    <w:rsid w:val="00FD3C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EastAsia"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4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2D5C"/>
    <w:pPr>
      <w:widowControl w:val="0"/>
      <w:jc w:val="both"/>
    </w:pPr>
    <w:rPr>
      <w:rFonts w:ascii="Times New Roman" w:hAnsi="Times New Roman"/>
      <w:kern w:val="2"/>
      <w:sz w:val="21"/>
      <w:szCs w:val="22"/>
    </w:rPr>
  </w:style>
  <w:style w:type="paragraph" w:styleId="1">
    <w:name w:val="heading 1"/>
    <w:basedOn w:val="a"/>
    <w:next w:val="a"/>
    <w:link w:val="1Char"/>
    <w:uiPriority w:val="9"/>
    <w:qFormat/>
    <w:rsid w:val="00C82D5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82D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C82D5C"/>
    <w:pPr>
      <w:snapToGrid w:val="0"/>
      <w:jc w:val="left"/>
    </w:pPr>
  </w:style>
  <w:style w:type="character" w:customStyle="1" w:styleId="Char">
    <w:name w:val="尾注文本 Char"/>
    <w:basedOn w:val="a0"/>
    <w:link w:val="a4"/>
    <w:uiPriority w:val="99"/>
    <w:semiHidden/>
    <w:rsid w:val="00C82D5C"/>
  </w:style>
  <w:style w:type="character" w:styleId="a5">
    <w:name w:val="endnote reference"/>
    <w:uiPriority w:val="99"/>
    <w:semiHidden/>
    <w:unhideWhenUsed/>
    <w:rsid w:val="00C82D5C"/>
    <w:rPr>
      <w:vertAlign w:val="superscript"/>
    </w:rPr>
  </w:style>
  <w:style w:type="paragraph" w:styleId="a6">
    <w:name w:val="header"/>
    <w:basedOn w:val="a"/>
    <w:link w:val="Char0"/>
    <w:uiPriority w:val="99"/>
    <w:unhideWhenUsed/>
    <w:rsid w:val="00C82D5C"/>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C82D5C"/>
    <w:rPr>
      <w:sz w:val="18"/>
      <w:szCs w:val="18"/>
    </w:rPr>
  </w:style>
  <w:style w:type="paragraph" w:styleId="a7">
    <w:name w:val="footer"/>
    <w:basedOn w:val="a"/>
    <w:link w:val="Char1"/>
    <w:uiPriority w:val="99"/>
    <w:unhideWhenUsed/>
    <w:rsid w:val="00C82D5C"/>
    <w:pPr>
      <w:tabs>
        <w:tab w:val="center" w:pos="4153"/>
        <w:tab w:val="right" w:pos="8306"/>
      </w:tabs>
      <w:snapToGrid w:val="0"/>
      <w:jc w:val="left"/>
    </w:pPr>
    <w:rPr>
      <w:sz w:val="18"/>
      <w:szCs w:val="18"/>
    </w:rPr>
  </w:style>
  <w:style w:type="character" w:customStyle="1" w:styleId="Char1">
    <w:name w:val="页脚 Char"/>
    <w:link w:val="a7"/>
    <w:uiPriority w:val="99"/>
    <w:rsid w:val="00C82D5C"/>
    <w:rPr>
      <w:sz w:val="18"/>
      <w:szCs w:val="18"/>
    </w:rPr>
  </w:style>
  <w:style w:type="paragraph" w:styleId="a8">
    <w:name w:val="footnote text"/>
    <w:basedOn w:val="a"/>
    <w:link w:val="Char2"/>
    <w:uiPriority w:val="40"/>
    <w:unhideWhenUsed/>
    <w:rsid w:val="00C82D5C"/>
    <w:pPr>
      <w:snapToGrid w:val="0"/>
      <w:jc w:val="left"/>
    </w:pPr>
    <w:rPr>
      <w:sz w:val="18"/>
      <w:szCs w:val="18"/>
    </w:rPr>
  </w:style>
  <w:style w:type="character" w:customStyle="1" w:styleId="Char2">
    <w:name w:val="脚注文本 Char"/>
    <w:link w:val="a8"/>
    <w:uiPriority w:val="40"/>
    <w:rsid w:val="00C82D5C"/>
    <w:rPr>
      <w:rFonts w:ascii="Times New Roman" w:hAnsi="Times New Roman"/>
      <w:kern w:val="2"/>
      <w:sz w:val="18"/>
      <w:szCs w:val="18"/>
    </w:rPr>
  </w:style>
  <w:style w:type="character" w:styleId="a9">
    <w:name w:val="footnote reference"/>
    <w:aliases w:val="(NECG) Footnote Reference,-E Fußnotenzeichen,fr"/>
    <w:uiPriority w:val="99"/>
    <w:unhideWhenUsed/>
    <w:rsid w:val="00C82D5C"/>
    <w:rPr>
      <w:vertAlign w:val="superscript"/>
    </w:rPr>
  </w:style>
  <w:style w:type="character" w:customStyle="1" w:styleId="apple-converted-space">
    <w:name w:val="apple-converted-space"/>
    <w:basedOn w:val="a0"/>
    <w:rsid w:val="00C82D5C"/>
  </w:style>
  <w:style w:type="paragraph" w:styleId="aa">
    <w:name w:val="Balloon Text"/>
    <w:basedOn w:val="a"/>
    <w:link w:val="Char3"/>
    <w:uiPriority w:val="99"/>
    <w:semiHidden/>
    <w:unhideWhenUsed/>
    <w:rsid w:val="00C82D5C"/>
    <w:rPr>
      <w:sz w:val="18"/>
      <w:szCs w:val="18"/>
    </w:rPr>
  </w:style>
  <w:style w:type="character" w:customStyle="1" w:styleId="Char3">
    <w:name w:val="批注框文本 Char"/>
    <w:basedOn w:val="a0"/>
    <w:link w:val="aa"/>
    <w:uiPriority w:val="99"/>
    <w:semiHidden/>
    <w:rsid w:val="00C82D5C"/>
    <w:rPr>
      <w:rFonts w:ascii="Times New Roman" w:hAnsi="Times New Roman"/>
      <w:kern w:val="2"/>
      <w:sz w:val="18"/>
      <w:szCs w:val="18"/>
    </w:rPr>
  </w:style>
  <w:style w:type="paragraph" w:customStyle="1" w:styleId="AMLNotifyCont3">
    <w:name w:val="AMLNotify Cont 3"/>
    <w:basedOn w:val="a"/>
    <w:rsid w:val="00C82D5C"/>
    <w:pPr>
      <w:widowControl/>
      <w:spacing w:after="240"/>
    </w:pPr>
    <w:rPr>
      <w:rFonts w:eastAsia="Times New Roman"/>
      <w:kern w:val="0"/>
      <w:sz w:val="24"/>
      <w:szCs w:val="20"/>
      <w:lang w:eastAsia="en-GB"/>
    </w:rPr>
  </w:style>
  <w:style w:type="paragraph" w:customStyle="1" w:styleId="DocId">
    <w:name w:val="DocId"/>
    <w:basedOn w:val="a7"/>
    <w:rsid w:val="00C82D5C"/>
    <w:pPr>
      <w:widowControl/>
      <w:tabs>
        <w:tab w:val="clear" w:pos="4153"/>
        <w:tab w:val="clear" w:pos="8306"/>
        <w:tab w:val="center" w:pos="4680"/>
        <w:tab w:val="right" w:pos="9360"/>
      </w:tabs>
      <w:snapToGrid/>
    </w:pPr>
    <w:rPr>
      <w:rFonts w:cstheme="minorBidi"/>
      <w:kern w:val="0"/>
      <w:sz w:val="16"/>
      <w:szCs w:val="16"/>
      <w:lang w:eastAsia="en-US"/>
    </w:rPr>
  </w:style>
  <w:style w:type="paragraph" w:styleId="ab">
    <w:name w:val="Revision"/>
    <w:hidden/>
    <w:uiPriority w:val="99"/>
    <w:semiHidden/>
    <w:rsid w:val="00C82D5C"/>
    <w:rPr>
      <w:rFonts w:ascii="Times New Roman" w:hAnsi="Times New Roman"/>
      <w:kern w:val="2"/>
      <w:sz w:val="21"/>
      <w:szCs w:val="22"/>
    </w:rPr>
  </w:style>
  <w:style w:type="paragraph" w:styleId="ac">
    <w:name w:val="List Paragraph"/>
    <w:basedOn w:val="a"/>
    <w:uiPriority w:val="34"/>
    <w:qFormat/>
    <w:rsid w:val="00C82D5C"/>
    <w:pPr>
      <w:ind w:firstLineChars="200" w:firstLine="420"/>
    </w:pPr>
  </w:style>
  <w:style w:type="character" w:customStyle="1" w:styleId="1Char">
    <w:name w:val="标题 1 Char"/>
    <w:basedOn w:val="a0"/>
    <w:link w:val="1"/>
    <w:uiPriority w:val="9"/>
    <w:rsid w:val="00C82D5C"/>
    <w:rPr>
      <w:rFonts w:asciiTheme="majorHAnsi" w:eastAsiaTheme="majorEastAsia" w:hAnsiTheme="majorHAnsi" w:cstheme="majorBidi"/>
      <w:b/>
      <w:bCs/>
      <w:color w:val="365F91" w:themeColor="accent1" w:themeShade="BF"/>
      <w:kern w:val="2"/>
      <w:sz w:val="28"/>
      <w:szCs w:val="28"/>
    </w:rPr>
  </w:style>
  <w:style w:type="character" w:styleId="ad">
    <w:name w:val="Hyperlink"/>
    <w:basedOn w:val="a0"/>
    <w:uiPriority w:val="99"/>
    <w:unhideWhenUsed/>
    <w:rsid w:val="007E4BB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Words>
  <Characters>981</Characters>
  <Application>Microsoft Office Word</Application>
  <DocSecurity>0</DocSecurity>
  <Lines>8</Lines>
  <Paragraphs>2</Paragraphs>
  <ScaleCrop>false</ScaleCrop>
  <LinksUpToDate>false</LinksUpToDate>
  <CharactersWithSpaces>1151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2019-05-20T01:54:00Z</dcterms:created>
  <dcterms:modified xsi:type="dcterms:W3CDTF">2019-05-20T01:54:00Z</dcterms:modified>
</cp:coreProperties>
</file>