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CD5" w:rsidRPr="00507372" w:rsidRDefault="00502CD5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  <w:bookmarkStart w:id="0" w:name="_GoBack"/>
      <w:bookmarkEnd w:id="0"/>
      <w:r w:rsidRPr="00507372">
        <w:rPr>
          <w:rFonts w:ascii="Times New Roman" w:eastAsia="仿宋" w:hAnsi="Times New Roman"/>
          <w:b/>
          <w:sz w:val="24"/>
          <w:szCs w:val="24"/>
        </w:rPr>
        <w:t>经营者集中简易案件公示表</w:t>
      </w:r>
    </w:p>
    <w:p w:rsidR="00502CD5" w:rsidRPr="00507372" w:rsidRDefault="00502CD5" w:rsidP="00507372">
      <w:pPr>
        <w:spacing w:line="440" w:lineRule="exact"/>
        <w:ind w:firstLineChars="302" w:firstLine="725"/>
        <w:rPr>
          <w:rFonts w:ascii="Times New Roman" w:eastAsia="仿宋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96"/>
        <w:gridCol w:w="5153"/>
      </w:tblGrid>
      <w:tr w:rsidR="00502CD5" w:rsidRPr="00507372">
        <w:tc>
          <w:tcPr>
            <w:tcW w:w="1809" w:type="dxa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502CD5" w:rsidRPr="00507372" w:rsidRDefault="00C4245B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C4245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重庆百瓶酒庄管理有限公司收购</w:t>
            </w:r>
            <w:r w:rsidRPr="00C4245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HH SUM-XII</w:t>
            </w:r>
            <w:r w:rsidRPr="00C4245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控股有限公司股权案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（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“</w:t>
            </w:r>
            <w:r w:rsidR="00313C18" w:rsidRPr="00507372">
              <w:rPr>
                <w:rFonts w:ascii="Times New Roman" w:eastAsia="仿宋" w:hAnsi="Times New Roman"/>
                <w:b/>
                <w:kern w:val="0"/>
                <w:sz w:val="24"/>
                <w:szCs w:val="24"/>
              </w:rPr>
              <w:t>本次交易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”</w:t>
            </w:r>
            <w:r w:rsidR="00313C18" w:rsidRPr="00507372">
              <w:rPr>
                <w:rFonts w:ascii="Times New Roman" w:eastAsia="仿宋" w:hAnsi="Times New Roman"/>
                <w:kern w:val="0"/>
                <w:sz w:val="24"/>
                <w:szCs w:val="24"/>
              </w:rPr>
              <w:t>）</w:t>
            </w:r>
          </w:p>
        </w:tc>
      </w:tr>
      <w:tr w:rsidR="00502CD5" w:rsidRPr="00507372">
        <w:trPr>
          <w:trHeight w:val="993"/>
        </w:trPr>
        <w:tc>
          <w:tcPr>
            <w:tcW w:w="1809" w:type="dxa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交易概况（限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200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502CD5" w:rsidRPr="00507372" w:rsidRDefault="00C654EC" w:rsidP="00DC23F5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本次交易涉及</w:t>
            </w:r>
            <w:r w:rsidR="009A551E" w:rsidRPr="009A551E">
              <w:rPr>
                <w:rFonts w:ascii="Times New Roman" w:eastAsia="仿宋" w:hAnsi="Times New Roman" w:hint="eastAsia"/>
                <w:sz w:val="24"/>
                <w:szCs w:val="24"/>
              </w:rPr>
              <w:t>重庆百瓶</w:t>
            </w:r>
            <w:r w:rsidR="009A551E" w:rsidRPr="00C4245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酒庄管理有限公司</w:t>
            </w:r>
            <w:r w:rsidR="00670503" w:rsidRPr="00C4245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（简称“</w:t>
            </w:r>
            <w:r w:rsidR="00670503" w:rsidRPr="00670503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</w:rPr>
              <w:t>重庆百瓶</w:t>
            </w:r>
            <w:r w:rsidR="00670503" w:rsidRPr="00C4245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  <w:r w:rsidR="009A551E" w:rsidRPr="009A551E">
              <w:rPr>
                <w:rFonts w:ascii="Times New Roman" w:eastAsia="仿宋" w:hAnsi="Times New Roman" w:hint="eastAsia"/>
                <w:sz w:val="24"/>
                <w:szCs w:val="24"/>
              </w:rPr>
              <w:t>认购</w:t>
            </w:r>
            <w:r w:rsidR="008C0778" w:rsidRPr="008C0778">
              <w:rPr>
                <w:rFonts w:ascii="Times New Roman" w:eastAsia="仿宋" w:hAnsi="Times New Roman" w:hint="eastAsia"/>
                <w:sz w:val="24"/>
                <w:szCs w:val="24"/>
              </w:rPr>
              <w:t>HH SUM-XII</w:t>
            </w:r>
            <w:r w:rsidR="008C0778" w:rsidRPr="008C0778">
              <w:rPr>
                <w:rFonts w:ascii="Times New Roman" w:eastAsia="仿宋" w:hAnsi="Times New Roman" w:hint="eastAsia"/>
                <w:sz w:val="24"/>
                <w:szCs w:val="24"/>
              </w:rPr>
              <w:t>控股有限公司（</w:t>
            </w:r>
            <w:r w:rsidR="008C0778" w:rsidRPr="008C0778">
              <w:rPr>
                <w:rFonts w:ascii="Times New Roman" w:eastAsia="仿宋" w:hAnsi="Times New Roman" w:hint="eastAsia"/>
                <w:sz w:val="24"/>
                <w:szCs w:val="24"/>
              </w:rPr>
              <w:t>HH SUM-XII Holdings Limited</w:t>
            </w:r>
            <w:r w:rsidR="008C0778">
              <w:rPr>
                <w:rFonts w:ascii="Times New Roman" w:eastAsia="仿宋" w:hAnsi="Times New Roman" w:hint="eastAsia"/>
                <w:sz w:val="24"/>
                <w:szCs w:val="24"/>
              </w:rPr>
              <w:t>，简称“</w:t>
            </w:r>
            <w:r w:rsidR="008C0778" w:rsidRPr="00670503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目标公司</w:t>
            </w:r>
            <w:r w:rsidR="008C0778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="009A551E" w:rsidRPr="009A551E">
              <w:rPr>
                <w:rFonts w:ascii="Times New Roman" w:eastAsia="仿宋" w:hAnsi="Times New Roman" w:hint="eastAsia"/>
                <w:sz w:val="24"/>
                <w:szCs w:val="24"/>
              </w:rPr>
              <w:t>51%</w:t>
            </w:r>
            <w:r w:rsidR="009A551E" w:rsidRPr="009A551E">
              <w:rPr>
                <w:rFonts w:ascii="Times New Roman" w:eastAsia="仿宋" w:hAnsi="Times New Roman" w:hint="eastAsia"/>
                <w:sz w:val="24"/>
                <w:szCs w:val="24"/>
              </w:rPr>
              <w:t>的股权，且在认购完成后与目标公司现有股东</w:t>
            </w:r>
            <w:r w:rsidR="005E26B3" w:rsidRPr="00C4245B">
              <w:rPr>
                <w:rFonts w:ascii="Times New Roman" w:eastAsia="仿宋" w:hAnsi="Times New Roman" w:hint="eastAsia"/>
                <w:sz w:val="24"/>
                <w:szCs w:val="24"/>
              </w:rPr>
              <w:t>HH SUM-XIV</w:t>
            </w:r>
            <w:r w:rsidR="005E26B3" w:rsidRPr="00C4245B">
              <w:rPr>
                <w:rFonts w:ascii="Times New Roman" w:eastAsia="仿宋" w:hAnsi="Times New Roman" w:hint="eastAsia"/>
                <w:sz w:val="24"/>
                <w:szCs w:val="24"/>
              </w:rPr>
              <w:t>控股有限公司（</w:t>
            </w:r>
            <w:r w:rsidR="005E26B3" w:rsidRPr="00C4245B">
              <w:rPr>
                <w:rFonts w:ascii="Times New Roman" w:eastAsia="仿宋" w:hAnsi="Times New Roman" w:hint="eastAsia"/>
                <w:sz w:val="24"/>
                <w:szCs w:val="24"/>
              </w:rPr>
              <w:t>HH SUM-XIV Holdings Limited</w:t>
            </w:r>
            <w:r w:rsidR="005E26B3">
              <w:rPr>
                <w:rFonts w:ascii="Times New Roman" w:eastAsia="仿宋" w:hAnsi="Times New Roman" w:hint="eastAsia"/>
                <w:sz w:val="24"/>
                <w:szCs w:val="24"/>
              </w:rPr>
              <w:t>，简称“</w:t>
            </w:r>
            <w:r w:rsidR="00DC23F5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HH</w:t>
            </w:r>
            <w:r w:rsidR="00DC23F5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公司</w:t>
            </w:r>
            <w:r w:rsidR="005E26B3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="009A551E" w:rsidRPr="009A551E">
              <w:rPr>
                <w:rFonts w:ascii="Times New Roman" w:eastAsia="仿宋" w:hAnsi="Times New Roman" w:hint="eastAsia"/>
                <w:sz w:val="24"/>
                <w:szCs w:val="24"/>
              </w:rPr>
              <w:t>共同控制目标公司。</w:t>
            </w:r>
          </w:p>
        </w:tc>
      </w:tr>
      <w:tr w:rsidR="00502CD5" w:rsidRPr="00507372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502CD5" w:rsidRPr="00507372" w:rsidRDefault="00C4245B" w:rsidP="00670503">
            <w:pPr>
              <w:adjustRightInd w:val="0"/>
              <w:snapToGrid w:val="0"/>
              <w:spacing w:before="120" w:after="120" w:line="276" w:lineRule="auto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C4245B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重庆百瓶</w:t>
            </w:r>
          </w:p>
        </w:tc>
        <w:tc>
          <w:tcPr>
            <w:tcW w:w="5153" w:type="dxa"/>
          </w:tcPr>
          <w:p w:rsidR="00502CD5" w:rsidRPr="00C654EC" w:rsidRDefault="0049694F" w:rsidP="0049694F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49694F">
              <w:rPr>
                <w:rFonts w:ascii="Times New Roman" w:eastAsia="仿宋" w:hAnsi="Times New Roman" w:hint="eastAsia"/>
                <w:sz w:val="24"/>
                <w:szCs w:val="24"/>
              </w:rPr>
              <w:t>重庆百瓶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隶属于江小白集团，集团业务</w:t>
            </w:r>
            <w:r w:rsidRPr="0049694F">
              <w:rPr>
                <w:rFonts w:ascii="Times New Roman" w:eastAsia="仿宋" w:hAnsi="Times New Roman" w:hint="eastAsia"/>
                <w:sz w:val="24"/>
                <w:szCs w:val="24"/>
              </w:rPr>
              <w:t>主要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包括</w:t>
            </w:r>
            <w:r w:rsidRPr="0049694F">
              <w:rPr>
                <w:rFonts w:ascii="Times New Roman" w:eastAsia="仿宋" w:hAnsi="Times New Roman" w:hint="eastAsia"/>
                <w:sz w:val="24"/>
                <w:szCs w:val="24"/>
              </w:rPr>
              <w:t>高粱育种和白酒酿造蒸馏，及其相关销售、物流等配套业务。</w:t>
            </w:r>
          </w:p>
        </w:tc>
      </w:tr>
      <w:tr w:rsidR="00502CD5" w:rsidRPr="00507372">
        <w:trPr>
          <w:trHeight w:val="1205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after="20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502CD5" w:rsidRPr="00507372" w:rsidRDefault="00DC23F5" w:rsidP="00197540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HH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公司</w:t>
            </w:r>
          </w:p>
        </w:tc>
        <w:tc>
          <w:tcPr>
            <w:tcW w:w="5153" w:type="dxa"/>
          </w:tcPr>
          <w:p w:rsidR="00DA6922" w:rsidRPr="00507372" w:rsidRDefault="00D87BD9" w:rsidP="00550A36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D87BD9">
              <w:rPr>
                <w:rFonts w:ascii="Times New Roman" w:eastAsia="仿宋" w:hAnsi="Times New Roman" w:hint="eastAsia"/>
                <w:sz w:val="24"/>
                <w:szCs w:val="24"/>
              </w:rPr>
              <w:t>HH</w:t>
            </w:r>
            <w:r w:rsidRPr="00D87BD9">
              <w:rPr>
                <w:rFonts w:ascii="Times New Roman" w:eastAsia="仿宋" w:hAnsi="Times New Roman" w:hint="eastAsia"/>
                <w:sz w:val="24"/>
                <w:szCs w:val="24"/>
              </w:rPr>
              <w:t>公司为一家位于中国境外的投资控股公司，持有目标公司</w:t>
            </w:r>
            <w:r w:rsidRPr="00D87BD9">
              <w:rPr>
                <w:rFonts w:ascii="Times New Roman" w:eastAsia="仿宋" w:hAnsi="Times New Roman" w:hint="eastAsia"/>
                <w:sz w:val="24"/>
                <w:szCs w:val="24"/>
              </w:rPr>
              <w:t>100%</w:t>
            </w:r>
            <w:r w:rsidRPr="00D87BD9">
              <w:rPr>
                <w:rFonts w:ascii="Times New Roman" w:eastAsia="仿宋" w:hAnsi="Times New Roman" w:hint="eastAsia"/>
                <w:sz w:val="24"/>
                <w:szCs w:val="24"/>
              </w:rPr>
              <w:t>的股权，</w:t>
            </w:r>
            <w:r w:rsidR="00550A36">
              <w:rPr>
                <w:rFonts w:ascii="Times New Roman" w:eastAsia="仿宋" w:hAnsi="Times New Roman" w:hint="eastAsia"/>
                <w:sz w:val="24"/>
                <w:szCs w:val="24"/>
              </w:rPr>
              <w:t>并通过目标公司</w:t>
            </w:r>
            <w:r w:rsidR="00745B3A" w:rsidRPr="00745B3A">
              <w:rPr>
                <w:rFonts w:ascii="Times New Roman" w:eastAsia="仿宋" w:hAnsi="Times New Roman" w:hint="eastAsia"/>
                <w:sz w:val="24"/>
                <w:szCs w:val="24"/>
              </w:rPr>
              <w:t>间接投资和控股罗曼湖</w:t>
            </w:r>
            <w:r w:rsidR="00550A36">
              <w:rPr>
                <w:rFonts w:ascii="Times New Roman" w:eastAsia="仿宋" w:hAnsi="Times New Roman" w:hint="eastAsia"/>
                <w:sz w:val="24"/>
                <w:szCs w:val="24"/>
              </w:rPr>
              <w:t>集团</w:t>
            </w:r>
            <w:r w:rsidRPr="00D87BD9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502CD5" w:rsidRPr="00507372" w:rsidRDefault="00C4245B" w:rsidP="00C4245B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C71F2B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C71F2B" w:rsidP="00C4245B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502CD5" w:rsidRPr="00507372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□4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02CD5" w:rsidRPr="00507372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290BF0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502CD5" w:rsidRPr="00507372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02CD5" w:rsidRPr="00507372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502CD5" w:rsidRPr="00507372" w:rsidRDefault="00502CD5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507372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02CD5" w:rsidRPr="00507372">
        <w:tc>
          <w:tcPr>
            <w:tcW w:w="1809" w:type="dxa"/>
            <w:shd w:val="clear" w:color="auto" w:fill="D9D9D9"/>
          </w:tcPr>
          <w:p w:rsidR="00502CD5" w:rsidRPr="00507372" w:rsidRDefault="00502CD5">
            <w:pPr>
              <w:adjustRightInd w:val="0"/>
              <w:snapToGrid w:val="0"/>
              <w:spacing w:before="120" w:after="120" w:line="276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07372">
              <w:rPr>
                <w:rFonts w:ascii="Times New Roman" w:eastAsia="仿宋" w:hAnsi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F70867" w:rsidRDefault="000E296F" w:rsidP="00FB2B38">
            <w:pPr>
              <w:adjustRightInd w:val="0"/>
              <w:snapToGrid w:val="0"/>
              <w:spacing w:beforeLines="50" w:before="156" w:afterLines="50" w:after="156"/>
              <w:rPr>
                <w:rFonts w:ascii="Times New Roman" w:eastAsia="仿宋" w:hAnsi="Times New Roman"/>
                <w:sz w:val="24"/>
                <w:szCs w:val="24"/>
              </w:rPr>
            </w:pPr>
            <w:r w:rsidRPr="000E296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相关市场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 w:rsidR="00C4245B">
              <w:rPr>
                <w:rFonts w:ascii="Times New Roman" w:eastAsia="仿宋" w:hAnsi="Times New Roman" w:hint="eastAsia"/>
                <w:sz w:val="24"/>
                <w:szCs w:val="24"/>
              </w:rPr>
              <w:t>中国威士忌酒市场</w:t>
            </w:r>
          </w:p>
          <w:p w:rsidR="0064009F" w:rsidRPr="00C4245B" w:rsidRDefault="0049694F" w:rsidP="00C4245B">
            <w:pPr>
              <w:adjustRightInd w:val="0"/>
              <w:snapToGrid w:val="0"/>
              <w:spacing w:beforeLines="50" w:before="156" w:afterLines="50" w:after="156"/>
              <w:rPr>
                <w:rFonts w:ascii="Times New Roman" w:eastAsia="仿宋" w:hAnsi="Times New Roman"/>
                <w:sz w:val="24"/>
                <w:szCs w:val="24"/>
              </w:rPr>
            </w:pPr>
            <w:r w:rsidRPr="0049694F">
              <w:rPr>
                <w:rFonts w:ascii="Times New Roman" w:eastAsia="仿宋" w:hAnsi="Times New Roman"/>
                <w:b/>
                <w:sz w:val="24"/>
                <w:szCs w:val="24"/>
              </w:rPr>
              <w:t>目标公司市场份额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[0-5]%</w:t>
            </w:r>
          </w:p>
        </w:tc>
      </w:tr>
    </w:tbl>
    <w:p w:rsidR="00502CD5" w:rsidRPr="00507372" w:rsidRDefault="00502CD5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:rsidR="00502CD5" w:rsidRPr="00507372" w:rsidRDefault="00502CD5">
      <w:pPr>
        <w:rPr>
          <w:rFonts w:ascii="Times New Roman" w:eastAsia="仿宋" w:hAnsi="Times New Roman"/>
          <w:sz w:val="24"/>
          <w:szCs w:val="24"/>
        </w:rPr>
      </w:pPr>
    </w:p>
    <w:sectPr w:rsidR="00502CD5" w:rsidRPr="00507372">
      <w:footerReference w:type="default" r:id="rId8"/>
      <w:footerReference w:type="firs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642E" w:rsidRDefault="00F9642E">
      <w:r>
        <w:separator/>
      </w:r>
    </w:p>
  </w:endnote>
  <w:endnote w:type="continuationSeparator" w:id="0">
    <w:p w:rsidR="00F9642E" w:rsidRDefault="00F96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altName w:val="?? B Hinted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D5" w:rsidRDefault="00502CD5">
    <w:pPr>
      <w:pStyle w:val="a6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D5" w:rsidRDefault="00064920">
    <w:pPr>
      <w:pStyle w:val="a6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02CD5" w:rsidRDefault="005F65BC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 w:rsidR="00502CD5">
                            <w:t>BEI1142404</w:t>
                          </w:r>
                          <w:r>
                            <w:fldChar w:fldCharType="end"/>
                          </w:r>
                          <w:r w:rsidR="00502CD5">
                            <w:fldChar w:fldCharType="begin"/>
                          </w:r>
                          <w:r w:rsidR="00502CD5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docIncludeVersion </w:instrText>
                          </w:r>
                          <w:r>
                            <w:fldChar w:fldCharType="separate"/>
                          </w:r>
                          <w:r w:rsidR="00502CD5">
                            <w:instrText>true</w:instrText>
                          </w:r>
                          <w:r>
                            <w:fldChar w:fldCharType="end"/>
                          </w:r>
                          <w:r w:rsidR="00502CD5"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 w:rsidR="00502CD5">
                            <w:instrText>1</w:instrText>
                          </w:r>
                          <w:r>
                            <w:fldChar w:fldCharType="end"/>
                          </w:r>
                          <w:r w:rsidR="00502CD5">
                            <w:instrText>"</w:instrText>
                          </w:r>
                          <w:r w:rsidR="00502CD5">
                            <w:fldChar w:fldCharType="separate"/>
                          </w:r>
                          <w:r w:rsidR="00502CD5">
                            <w:rPr>
                              <w:lang w:eastAsia="zh-CN"/>
                            </w:rPr>
                            <w:t>/1</w:t>
                          </w:r>
                          <w:r w:rsidR="00502CD5">
                            <w:fldChar w:fldCharType="end"/>
                          </w:r>
                          <w:r w:rsidR="00502CD5">
                            <w:t xml:space="preserve">   </w:t>
                          </w:r>
                          <w:r w:rsidR="00502CD5">
                            <w:fldChar w:fldCharType="begin"/>
                          </w:r>
                          <w:r w:rsidR="00502CD5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 w:rsidR="00502CD5">
                            <w:instrText>true</w:instrText>
                          </w:r>
                          <w:r>
                            <w:fldChar w:fldCharType="end"/>
                          </w:r>
                          <w:r w:rsidR="00502CD5"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 w:rsidR="00502CD5">
                            <w:instrText>060660-0399</w:instrText>
                          </w:r>
                          <w:r>
                            <w:fldChar w:fldCharType="end"/>
                          </w:r>
                          <w:r w:rsidR="00502CD5">
                            <w:instrText xml:space="preserve">  </w:instrText>
                          </w:r>
                          <w:r w:rsidR="00502CD5">
                            <w:fldChar w:fldCharType="separate"/>
                          </w:r>
                          <w:r w:rsidR="00502CD5">
                            <w:rPr>
                              <w:lang w:eastAsia="zh-CN"/>
                            </w:rPr>
                            <w:t>060660-0399</w:t>
                          </w:r>
                          <w:r w:rsidR="00502CD5">
                            <w:fldChar w:fldCharType="end"/>
                          </w:r>
                        </w:p>
                        <w:p w:rsidR="00502CD5" w:rsidRDefault="00502CD5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9.95pt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" filled="f" stroked="f">
              <v:textbox inset="0,0,0,0">
                <w:txbxContent>
                  <w:p w:rsidR="00502CD5" w:rsidRDefault="00671D55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 w:rsidR="00502CD5">
                      <w:t>BEI1142404</w:t>
                    </w:r>
                    <w:r>
                      <w:fldChar w:fldCharType="end"/>
                    </w:r>
                    <w:r w:rsidR="00502CD5">
                      <w:fldChar w:fldCharType="begin"/>
                    </w:r>
                    <w:r w:rsidR="00502CD5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docIncludeVersion </w:instrText>
                    </w:r>
                    <w:r>
                      <w:fldChar w:fldCharType="separate"/>
                    </w:r>
                    <w:r w:rsidR="00502CD5">
                      <w:instrText>true</w:instrText>
                    </w:r>
                    <w:r>
                      <w:fldChar w:fldCharType="end"/>
                    </w:r>
                    <w:r w:rsidR="00502CD5">
                      <w:instrText xml:space="preserve"> = true "/</w:instrTex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 w:rsidR="00502CD5">
                      <w:instrText>1</w:instrText>
                    </w:r>
                    <w:r>
                      <w:fldChar w:fldCharType="end"/>
                    </w:r>
                    <w:r w:rsidR="00502CD5">
                      <w:instrText>"</w:instrText>
                    </w:r>
                    <w:r w:rsidR="00502CD5">
                      <w:fldChar w:fldCharType="separate"/>
                    </w:r>
                    <w:r w:rsidR="00502CD5">
                      <w:rPr>
                        <w:lang w:eastAsia="zh-CN"/>
                      </w:rPr>
                      <w:t>/1</w:t>
                    </w:r>
                    <w:r w:rsidR="00502CD5">
                      <w:fldChar w:fldCharType="end"/>
                    </w:r>
                    <w:r w:rsidR="00502CD5">
                      <w:t xml:space="preserve">   </w:t>
                    </w:r>
                    <w:r w:rsidR="00502CD5">
                      <w:fldChar w:fldCharType="begin"/>
                    </w:r>
                    <w:r w:rsidR="00502CD5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 w:rsidR="00502CD5">
                      <w:instrText>true</w:instrText>
                    </w:r>
                    <w:r>
                      <w:fldChar w:fldCharType="end"/>
                    </w:r>
                    <w:r w:rsidR="00502CD5"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 w:rsidR="00502CD5">
                      <w:instrText>060660-0399</w:instrText>
                    </w:r>
                    <w:r>
                      <w:fldChar w:fldCharType="end"/>
                    </w:r>
                    <w:r w:rsidR="00502CD5">
                      <w:instrText xml:space="preserve">  </w:instrText>
                    </w:r>
                    <w:r w:rsidR="00502CD5">
                      <w:fldChar w:fldCharType="separate"/>
                    </w:r>
                    <w:r w:rsidR="00502CD5">
                      <w:rPr>
                        <w:lang w:eastAsia="zh-CN"/>
                      </w:rPr>
                      <w:t>060660-0399</w:t>
                    </w:r>
                    <w:r w:rsidR="00502CD5">
                      <w:fldChar w:fldCharType="end"/>
                    </w:r>
                  </w:p>
                  <w:p w:rsidR="00502CD5" w:rsidRDefault="00502CD5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642E" w:rsidRDefault="00F9642E">
      <w:r>
        <w:separator/>
      </w:r>
    </w:p>
  </w:footnote>
  <w:footnote w:type="continuationSeparator" w:id="0">
    <w:p w:rsidR="00F9642E" w:rsidRDefault="00F964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90516"/>
    <w:multiLevelType w:val="hybridMultilevel"/>
    <w:tmpl w:val="F1F626B2"/>
    <w:lvl w:ilvl="0" w:tplc="8ECCBE96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EC127D3"/>
    <w:multiLevelType w:val="hybridMultilevel"/>
    <w:tmpl w:val="077097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4E0C88"/>
    <w:multiLevelType w:val="hybridMultilevel"/>
    <w:tmpl w:val="F1F626B2"/>
    <w:lvl w:ilvl="0" w:tplc="8ECCBE96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zzmp10LastTrailerInserted" w:val="^`~#mp!@D⌜⌋#&lt;┖┤8;6zœmſK⌒Ä@⌘FßWph.⌘v‚îX”₲⌔w!ÇÿàÂ⌚ÇNn‣uy@⌞※^ˌD”¬AUZwwf5GI¦b†}àíî:’⌠:qaì¢|ÖÕr⌟AÒ⌐⌑âƄ~ë⌉&lt;ţZûſÌƄªšÓûÛ·⌙⌡¿⌖J7XkJÀ4¥Ŧ¸éž¨ÑëÝ¤_¬¹⌡ø}Ë`Ne(9E÷ÞÛ¬W7É⌉sKR,Û⌛†Ã}⌃⌂:6E=9TTQ011"/>
    <w:docVar w:name="zzmp10LastTrailerInserted_2832" w:val="^`~#mp!@D⌜⌋#&lt;┖┤8;6zœmſK⌒Ä@⌘FßWph.⌘v‚îX”₲⌔w!ÇÿàÂ⌚ÇNn‣uy@⌞※^ˌD”¬AUZwwf5GI¦b†}àíî:’⌠:qaì¢|ÖÕr⌟AÒ⌐⌑âƄ~ë⌉&lt;ţZûſÌƄªšÓûÛ·⌙⌡¿⌖J7XkJÀ4¥Ŧ¸éž¨ÑëÝ¤_¬¹⌡ø}Ë`Ne(9E÷ÞÛ¬W7É⌉sKR,Û⌛†Ã}⌃⌂:6E=9TTQ011"/>
    <w:docVar w:name="zzmp10mSEGsValidated" w:val="1"/>
    <w:docVar w:name="zzmpLegacyTrailerRemoved" w:val="True"/>
  </w:docVars>
  <w:rsids>
    <w:rsidRoot w:val="00094095"/>
    <w:rsid w:val="00013EF9"/>
    <w:rsid w:val="00064920"/>
    <w:rsid w:val="000718DE"/>
    <w:rsid w:val="00094095"/>
    <w:rsid w:val="000E296F"/>
    <w:rsid w:val="000F2F9F"/>
    <w:rsid w:val="00116C3B"/>
    <w:rsid w:val="00136320"/>
    <w:rsid w:val="00160ACD"/>
    <w:rsid w:val="001908CC"/>
    <w:rsid w:val="00197540"/>
    <w:rsid w:val="001A19D3"/>
    <w:rsid w:val="001A65C7"/>
    <w:rsid w:val="001C6B45"/>
    <w:rsid w:val="001D2DBC"/>
    <w:rsid w:val="001D62E2"/>
    <w:rsid w:val="001F1601"/>
    <w:rsid w:val="00206495"/>
    <w:rsid w:val="00236D59"/>
    <w:rsid w:val="00245776"/>
    <w:rsid w:val="00254587"/>
    <w:rsid w:val="00280DFA"/>
    <w:rsid w:val="002835DC"/>
    <w:rsid w:val="002844FF"/>
    <w:rsid w:val="00290BF0"/>
    <w:rsid w:val="002A3DEC"/>
    <w:rsid w:val="002C0B19"/>
    <w:rsid w:val="002C1A9D"/>
    <w:rsid w:val="002E1D17"/>
    <w:rsid w:val="002F2D60"/>
    <w:rsid w:val="00307976"/>
    <w:rsid w:val="00313C18"/>
    <w:rsid w:val="003276A0"/>
    <w:rsid w:val="00383777"/>
    <w:rsid w:val="003C0B7A"/>
    <w:rsid w:val="003D75F4"/>
    <w:rsid w:val="00404D07"/>
    <w:rsid w:val="00422730"/>
    <w:rsid w:val="004353C7"/>
    <w:rsid w:val="00462174"/>
    <w:rsid w:val="004639E8"/>
    <w:rsid w:val="0049694F"/>
    <w:rsid w:val="004B580B"/>
    <w:rsid w:val="004B7AEE"/>
    <w:rsid w:val="004F18CA"/>
    <w:rsid w:val="00502CD5"/>
    <w:rsid w:val="00507372"/>
    <w:rsid w:val="0051389E"/>
    <w:rsid w:val="00515D3E"/>
    <w:rsid w:val="00550A36"/>
    <w:rsid w:val="00557F11"/>
    <w:rsid w:val="005E26B3"/>
    <w:rsid w:val="005F0E34"/>
    <w:rsid w:val="005F167B"/>
    <w:rsid w:val="005F65BC"/>
    <w:rsid w:val="006210F2"/>
    <w:rsid w:val="0064009F"/>
    <w:rsid w:val="00647599"/>
    <w:rsid w:val="00670503"/>
    <w:rsid w:val="00671D55"/>
    <w:rsid w:val="00696D8A"/>
    <w:rsid w:val="006D3D88"/>
    <w:rsid w:val="006D5B7D"/>
    <w:rsid w:val="00711A38"/>
    <w:rsid w:val="00713B92"/>
    <w:rsid w:val="007372BA"/>
    <w:rsid w:val="00745B3A"/>
    <w:rsid w:val="00771357"/>
    <w:rsid w:val="007728E7"/>
    <w:rsid w:val="007841A8"/>
    <w:rsid w:val="00786A63"/>
    <w:rsid w:val="0079262D"/>
    <w:rsid w:val="007A0995"/>
    <w:rsid w:val="007A5298"/>
    <w:rsid w:val="008120A0"/>
    <w:rsid w:val="00814D5E"/>
    <w:rsid w:val="008162CB"/>
    <w:rsid w:val="008205D4"/>
    <w:rsid w:val="00822BE0"/>
    <w:rsid w:val="008C0778"/>
    <w:rsid w:val="008C0AB2"/>
    <w:rsid w:val="008E744E"/>
    <w:rsid w:val="00957873"/>
    <w:rsid w:val="00961617"/>
    <w:rsid w:val="00961A64"/>
    <w:rsid w:val="00962805"/>
    <w:rsid w:val="00971C1A"/>
    <w:rsid w:val="00976B0F"/>
    <w:rsid w:val="009A551E"/>
    <w:rsid w:val="009E5E9B"/>
    <w:rsid w:val="00A0186B"/>
    <w:rsid w:val="00A25E5E"/>
    <w:rsid w:val="00A53060"/>
    <w:rsid w:val="00A55B70"/>
    <w:rsid w:val="00A731FB"/>
    <w:rsid w:val="00A8100D"/>
    <w:rsid w:val="00A86BF7"/>
    <w:rsid w:val="00AE769A"/>
    <w:rsid w:val="00B025D2"/>
    <w:rsid w:val="00B32DD0"/>
    <w:rsid w:val="00B838A9"/>
    <w:rsid w:val="00BA0750"/>
    <w:rsid w:val="00BB2377"/>
    <w:rsid w:val="00BF78C8"/>
    <w:rsid w:val="00C25578"/>
    <w:rsid w:val="00C3389C"/>
    <w:rsid w:val="00C4245B"/>
    <w:rsid w:val="00C42464"/>
    <w:rsid w:val="00C44723"/>
    <w:rsid w:val="00C654EC"/>
    <w:rsid w:val="00C71F2B"/>
    <w:rsid w:val="00C9068E"/>
    <w:rsid w:val="00CD4177"/>
    <w:rsid w:val="00D14532"/>
    <w:rsid w:val="00D21777"/>
    <w:rsid w:val="00D574B9"/>
    <w:rsid w:val="00D60A5E"/>
    <w:rsid w:val="00D67EFB"/>
    <w:rsid w:val="00D807A9"/>
    <w:rsid w:val="00D87BD9"/>
    <w:rsid w:val="00D91FDE"/>
    <w:rsid w:val="00DA1340"/>
    <w:rsid w:val="00DA3183"/>
    <w:rsid w:val="00DA506C"/>
    <w:rsid w:val="00DA6922"/>
    <w:rsid w:val="00DB0393"/>
    <w:rsid w:val="00DB5B3E"/>
    <w:rsid w:val="00DC23F5"/>
    <w:rsid w:val="00DD6155"/>
    <w:rsid w:val="00E65958"/>
    <w:rsid w:val="00E93E1C"/>
    <w:rsid w:val="00EA5DC2"/>
    <w:rsid w:val="00EA7146"/>
    <w:rsid w:val="00ED21B1"/>
    <w:rsid w:val="00ED62C4"/>
    <w:rsid w:val="00EE33C2"/>
    <w:rsid w:val="00F31F6D"/>
    <w:rsid w:val="00F70867"/>
    <w:rsid w:val="00F7286B"/>
    <w:rsid w:val="00F755EC"/>
    <w:rsid w:val="00F87C1F"/>
    <w:rsid w:val="00F9642E"/>
    <w:rsid w:val="00FA1E46"/>
    <w:rsid w:val="00FB2B38"/>
    <w:rsid w:val="00FE0848"/>
    <w:rsid w:val="00FE6591"/>
    <w:rsid w:val="00FF0E28"/>
    <w:rsid w:val="03A6031B"/>
    <w:rsid w:val="3E3A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unhideWhenUsed/>
    <w:rPr>
      <w:vertAlign w:val="superscript"/>
    </w:rPr>
  </w:style>
  <w:style w:type="character" w:customStyle="1" w:styleId="Char">
    <w:name w:val="尾注文本 Char"/>
    <w:basedOn w:val="a0"/>
    <w:link w:val="a4"/>
    <w:uiPriority w:val="99"/>
    <w:semiHidden/>
  </w:style>
  <w:style w:type="character" w:customStyle="1" w:styleId="Char0">
    <w:name w:val="页眉 Char"/>
    <w:link w:val="a5"/>
    <w:uiPriority w:val="99"/>
    <w:rPr>
      <w:sz w:val="18"/>
      <w:szCs w:val="18"/>
    </w:rPr>
  </w:style>
  <w:style w:type="character" w:customStyle="1" w:styleId="Char1">
    <w:name w:val="页脚 Char"/>
    <w:link w:val="a6"/>
    <w:uiPriority w:val="99"/>
    <w:rPr>
      <w:sz w:val="18"/>
      <w:szCs w:val="18"/>
    </w:rPr>
  </w:style>
  <w:style w:type="character" w:customStyle="1" w:styleId="Char2">
    <w:name w:val="批注框文本 Char"/>
    <w:link w:val="a7"/>
    <w:uiPriority w:val="99"/>
    <w:semiHidden/>
    <w:rPr>
      <w:rFonts w:ascii="Tahoma" w:hAnsi="Tahoma" w:cs="Tahoma"/>
      <w:kern w:val="2"/>
      <w:sz w:val="16"/>
      <w:szCs w:val="16"/>
    </w:rPr>
  </w:style>
  <w:style w:type="paragraph" w:styleId="a7">
    <w:name w:val="Balloon Text"/>
    <w:basedOn w:val="a"/>
    <w:link w:val="Char2"/>
    <w:uiPriority w:val="99"/>
    <w:unhideWhenUsed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endnote text"/>
    <w:basedOn w:val="a"/>
    <w:link w:val="Char"/>
    <w:uiPriority w:val="99"/>
    <w:unhideWhenUsed/>
    <w:pPr>
      <w:snapToGrid w:val="0"/>
      <w:jc w:val="left"/>
    </w:pPr>
  </w:style>
  <w:style w:type="paragraph" w:customStyle="1" w:styleId="MacPacTrailer">
    <w:name w:val="MacPac Trailer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99"/>
    <w:qFormat/>
    <w:rsid w:val="00F7086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unhideWhenUsed/>
    <w:rPr>
      <w:vertAlign w:val="superscript"/>
    </w:rPr>
  </w:style>
  <w:style w:type="character" w:customStyle="1" w:styleId="Char">
    <w:name w:val="尾注文本 Char"/>
    <w:basedOn w:val="a0"/>
    <w:link w:val="a4"/>
    <w:uiPriority w:val="99"/>
    <w:semiHidden/>
  </w:style>
  <w:style w:type="character" w:customStyle="1" w:styleId="Char0">
    <w:name w:val="页眉 Char"/>
    <w:link w:val="a5"/>
    <w:uiPriority w:val="99"/>
    <w:rPr>
      <w:sz w:val="18"/>
      <w:szCs w:val="18"/>
    </w:rPr>
  </w:style>
  <w:style w:type="character" w:customStyle="1" w:styleId="Char1">
    <w:name w:val="页脚 Char"/>
    <w:link w:val="a6"/>
    <w:uiPriority w:val="99"/>
    <w:rPr>
      <w:sz w:val="18"/>
      <w:szCs w:val="18"/>
    </w:rPr>
  </w:style>
  <w:style w:type="character" w:customStyle="1" w:styleId="Char2">
    <w:name w:val="批注框文本 Char"/>
    <w:link w:val="a7"/>
    <w:uiPriority w:val="99"/>
    <w:semiHidden/>
    <w:rPr>
      <w:rFonts w:ascii="Tahoma" w:hAnsi="Tahoma" w:cs="Tahoma"/>
      <w:kern w:val="2"/>
      <w:sz w:val="16"/>
      <w:szCs w:val="16"/>
    </w:rPr>
  </w:style>
  <w:style w:type="paragraph" w:styleId="a7">
    <w:name w:val="Balloon Text"/>
    <w:basedOn w:val="a"/>
    <w:link w:val="Char2"/>
    <w:uiPriority w:val="99"/>
    <w:unhideWhenUsed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endnote text"/>
    <w:basedOn w:val="a"/>
    <w:link w:val="Char"/>
    <w:uiPriority w:val="99"/>
    <w:unhideWhenUsed/>
    <w:pPr>
      <w:snapToGrid w:val="0"/>
      <w:jc w:val="left"/>
    </w:pPr>
  </w:style>
  <w:style w:type="paragraph" w:customStyle="1" w:styleId="MacPacTrailer">
    <w:name w:val="MacPac Trailer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99"/>
    <w:qFormat/>
    <w:rsid w:val="00F708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Zhang, Mengci</cp:lastModifiedBy>
  <cp:revision>29</cp:revision>
  <cp:lastPrinted>2014-10-08T02:48:00Z</cp:lastPrinted>
  <dcterms:created xsi:type="dcterms:W3CDTF">2019-04-19T11:52:00Z</dcterms:created>
  <dcterms:modified xsi:type="dcterms:W3CDTF">2019-08-14T02:56:00Z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BEI1142404</vt:lpwstr>
  </property>
  <property fmtid="{D5CDD505-2E9C-101B-9397-08002B2CF9AE}" pid="3" name="docVersion">
    <vt:lpwstr>1</vt:lpwstr>
  </property>
  <property fmtid="{D5CDD505-2E9C-101B-9397-08002B2CF9AE}" pid="4" name="docCliMat">
    <vt:lpwstr>060660-0399</vt:lpwstr>
  </property>
  <property fmtid="{D5CDD505-2E9C-101B-9397-08002B2CF9AE}" pid="5" name="docIncludeVersion">
    <vt:lpwstr>true</vt:lpwstr>
  </property>
  <property fmtid="{D5CDD505-2E9C-101B-9397-08002B2CF9AE}" pid="6" name="docIncludeCliMat">
    <vt:lpwstr>true</vt:lpwstr>
  </property>
  <property fmtid="{D5CDD505-2E9C-101B-9397-08002B2CF9AE}" pid="7" name="KSOProductBuildVer">
    <vt:lpwstr>2052-10.1.0.7400</vt:lpwstr>
  </property>
</Properties>
</file>