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851" w:rsidRPr="00CF328D" w:rsidRDefault="007C7851" w:rsidP="00CB00DF">
      <w:pPr>
        <w:spacing w:line="440" w:lineRule="exact"/>
        <w:jc w:val="center"/>
        <w:rPr>
          <w:rFonts w:ascii="Times New Roman" w:hAnsi="Times New Roman"/>
          <w:b/>
          <w:sz w:val="24"/>
          <w:szCs w:val="24"/>
        </w:rPr>
      </w:pPr>
    </w:p>
    <w:p w:rsidR="00CB00DF" w:rsidRPr="00CF328D" w:rsidRDefault="00CB00DF" w:rsidP="00CB00DF">
      <w:pPr>
        <w:spacing w:line="440" w:lineRule="exact"/>
        <w:jc w:val="center"/>
        <w:rPr>
          <w:rFonts w:ascii="Times New Roman" w:hAnsi="Times New Roman"/>
          <w:b/>
          <w:sz w:val="30"/>
          <w:szCs w:val="30"/>
        </w:rPr>
      </w:pPr>
      <w:r w:rsidRPr="00CF328D">
        <w:rPr>
          <w:rFonts w:ascii="Times New Roman" w:hAnsi="Times New Roman"/>
          <w:b/>
          <w:sz w:val="30"/>
          <w:szCs w:val="30"/>
        </w:rPr>
        <w:t>经营者集中简易案件公示表</w:t>
      </w:r>
    </w:p>
    <w:p w:rsidR="00CB00DF" w:rsidRPr="00CF328D" w:rsidRDefault="00CB00DF" w:rsidP="00B42D28">
      <w:pPr>
        <w:spacing w:line="440" w:lineRule="exact"/>
        <w:rPr>
          <w:rFonts w:ascii="Times New Roman"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985"/>
        <w:gridCol w:w="4964"/>
      </w:tblGrid>
      <w:tr w:rsidR="00CB00DF" w:rsidRPr="00CF328D" w:rsidTr="00CB00DF">
        <w:tc>
          <w:tcPr>
            <w:tcW w:w="1809" w:type="dxa"/>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t>案件名称</w:t>
            </w: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日立汽车系统株式会社（“</w:t>
            </w:r>
            <w:r w:rsidRPr="00CF328D">
              <w:rPr>
                <w:rFonts w:ascii="Times New Roman" w:hAnsi="Times New Roman" w:hint="eastAsia"/>
                <w:b/>
                <w:color w:val="333333"/>
                <w:kern w:val="0"/>
                <w:sz w:val="24"/>
                <w:szCs w:val="24"/>
                <w:bdr w:val="none" w:sz="0" w:space="0" w:color="auto" w:frame="1"/>
              </w:rPr>
              <w:t>日立汽车系统</w:t>
            </w:r>
            <w:r w:rsidRPr="00CF328D">
              <w:rPr>
                <w:rFonts w:ascii="Times New Roman" w:hAnsi="Times New Roman" w:hint="eastAsia"/>
                <w:color w:val="333333"/>
                <w:kern w:val="0"/>
                <w:sz w:val="24"/>
                <w:szCs w:val="24"/>
                <w:bdr w:val="none" w:sz="0" w:space="0" w:color="auto" w:frame="1"/>
              </w:rPr>
              <w:t>”）</w:t>
            </w:r>
            <w:proofErr w:type="gramStart"/>
            <w:r w:rsidRPr="00CF328D">
              <w:rPr>
                <w:rFonts w:ascii="Times New Roman" w:hAnsi="Times New Roman" w:hint="eastAsia"/>
                <w:color w:val="333333"/>
                <w:kern w:val="0"/>
                <w:sz w:val="24"/>
                <w:szCs w:val="24"/>
                <w:bdr w:val="none" w:sz="0" w:space="0" w:color="auto" w:frame="1"/>
              </w:rPr>
              <w:t>收购泛博制动</w:t>
            </w:r>
            <w:proofErr w:type="gramEnd"/>
            <w:r w:rsidRPr="00CF328D">
              <w:rPr>
                <w:rFonts w:ascii="Times New Roman" w:hAnsi="Times New Roman" w:hint="eastAsia"/>
                <w:color w:val="333333"/>
                <w:kern w:val="0"/>
                <w:sz w:val="24"/>
                <w:szCs w:val="24"/>
                <w:bdr w:val="none" w:sz="0" w:space="0" w:color="auto" w:frame="1"/>
              </w:rPr>
              <w:t>控股有限公司（“</w:t>
            </w:r>
            <w:r w:rsidRPr="00CF328D">
              <w:rPr>
                <w:rFonts w:ascii="Times New Roman" w:hAnsi="Times New Roman" w:hint="eastAsia"/>
                <w:b/>
                <w:color w:val="333333"/>
                <w:kern w:val="0"/>
                <w:sz w:val="24"/>
                <w:szCs w:val="24"/>
                <w:bdr w:val="none" w:sz="0" w:space="0" w:color="auto" w:frame="1"/>
              </w:rPr>
              <w:t>泛博制动控股</w:t>
            </w:r>
            <w:r w:rsidRPr="00CF328D">
              <w:rPr>
                <w:rFonts w:ascii="Times New Roman" w:hAnsi="Times New Roman" w:hint="eastAsia"/>
                <w:color w:val="333333"/>
                <w:kern w:val="0"/>
                <w:sz w:val="24"/>
                <w:szCs w:val="24"/>
                <w:bdr w:val="none" w:sz="0" w:space="0" w:color="auto" w:frame="1"/>
              </w:rPr>
              <w:t>”）股权案</w:t>
            </w:r>
          </w:p>
        </w:tc>
      </w:tr>
      <w:tr w:rsidR="00CB00DF" w:rsidRPr="00CF328D" w:rsidTr="00CB00DF">
        <w:trPr>
          <w:trHeight w:val="993"/>
        </w:trPr>
        <w:tc>
          <w:tcPr>
            <w:tcW w:w="1809" w:type="dxa"/>
            <w:shd w:val="clear" w:color="auto" w:fill="D9D9D9"/>
            <w:vAlign w:val="center"/>
          </w:tcPr>
          <w:p w:rsidR="00F1624E"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t>交易概况</w:t>
            </w:r>
          </w:p>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t>（限</w:t>
            </w:r>
            <w:r w:rsidRPr="00CF328D">
              <w:rPr>
                <w:rFonts w:ascii="Times New Roman" w:hAnsi="Times New Roman"/>
                <w:b/>
                <w:color w:val="333333"/>
                <w:kern w:val="0"/>
                <w:sz w:val="24"/>
                <w:szCs w:val="24"/>
                <w:bdr w:val="none" w:sz="0" w:space="0" w:color="auto" w:frame="1"/>
              </w:rPr>
              <w:t>200</w:t>
            </w:r>
            <w:r w:rsidRPr="00CF328D">
              <w:rPr>
                <w:rFonts w:ascii="Times New Roman" w:hAnsi="Times New Roman"/>
                <w:b/>
                <w:color w:val="333333"/>
                <w:kern w:val="0"/>
                <w:sz w:val="24"/>
                <w:szCs w:val="24"/>
                <w:bdr w:val="none" w:sz="0" w:space="0" w:color="auto" w:frame="1"/>
              </w:rPr>
              <w:t>字内）</w:t>
            </w:r>
          </w:p>
        </w:tc>
        <w:tc>
          <w:tcPr>
            <w:tcW w:w="6949" w:type="dxa"/>
            <w:gridSpan w:val="2"/>
          </w:tcPr>
          <w:p w:rsidR="00CB00DF" w:rsidRPr="00CF328D" w:rsidRDefault="00833A8F" w:rsidP="00BC1AFC">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根据各方于</w:t>
            </w:r>
            <w:r w:rsidRPr="00CF328D">
              <w:rPr>
                <w:rFonts w:ascii="Times New Roman" w:hAnsi="Times New Roman" w:hint="eastAsia"/>
                <w:color w:val="333333"/>
                <w:kern w:val="0"/>
                <w:sz w:val="24"/>
                <w:szCs w:val="24"/>
                <w:bdr w:val="none" w:sz="0" w:space="0" w:color="auto" w:frame="1"/>
              </w:rPr>
              <w:t>2019</w:t>
            </w:r>
            <w:r w:rsidRPr="00CF328D">
              <w:rPr>
                <w:rFonts w:ascii="Times New Roman" w:hAnsi="Times New Roman" w:hint="eastAsia"/>
                <w:color w:val="333333"/>
                <w:kern w:val="0"/>
                <w:sz w:val="24"/>
                <w:szCs w:val="24"/>
                <w:bdr w:val="none" w:sz="0" w:space="0" w:color="auto" w:frame="1"/>
              </w:rPr>
              <w:t>年</w:t>
            </w:r>
            <w:r w:rsidRPr="00CF328D">
              <w:rPr>
                <w:rFonts w:ascii="Times New Roman" w:hAnsi="Times New Roman" w:hint="eastAsia"/>
                <w:color w:val="333333"/>
                <w:kern w:val="0"/>
                <w:sz w:val="24"/>
                <w:szCs w:val="24"/>
                <w:bdr w:val="none" w:sz="0" w:space="0" w:color="auto" w:frame="1"/>
              </w:rPr>
              <w:t>7</w:t>
            </w:r>
            <w:r w:rsidRPr="00CF328D">
              <w:rPr>
                <w:rFonts w:ascii="Times New Roman" w:hAnsi="Times New Roman" w:hint="eastAsia"/>
                <w:color w:val="333333"/>
                <w:kern w:val="0"/>
                <w:sz w:val="24"/>
                <w:szCs w:val="24"/>
                <w:bdr w:val="none" w:sz="0" w:space="0" w:color="auto" w:frame="1"/>
              </w:rPr>
              <w:t>月</w:t>
            </w:r>
            <w:r w:rsidRPr="00CF328D">
              <w:rPr>
                <w:rFonts w:ascii="Times New Roman" w:hAnsi="Times New Roman" w:hint="eastAsia"/>
                <w:color w:val="333333"/>
                <w:kern w:val="0"/>
                <w:sz w:val="24"/>
                <w:szCs w:val="24"/>
                <w:bdr w:val="none" w:sz="0" w:space="0" w:color="auto" w:frame="1"/>
              </w:rPr>
              <w:t>24</w:t>
            </w:r>
            <w:r w:rsidRPr="00CF328D">
              <w:rPr>
                <w:rFonts w:ascii="Times New Roman" w:hAnsi="Times New Roman" w:hint="eastAsia"/>
                <w:color w:val="333333"/>
                <w:kern w:val="0"/>
                <w:sz w:val="24"/>
                <w:szCs w:val="24"/>
                <w:bdr w:val="none" w:sz="0" w:space="0" w:color="auto" w:frame="1"/>
              </w:rPr>
              <w:t>日签署的股权购买协议，拟议交易完成后，日立汽车系统将</w:t>
            </w:r>
            <w:proofErr w:type="gramStart"/>
            <w:r w:rsidRPr="00CF328D">
              <w:rPr>
                <w:rFonts w:ascii="Times New Roman" w:hAnsi="Times New Roman" w:hint="eastAsia"/>
                <w:color w:val="333333"/>
                <w:kern w:val="0"/>
                <w:sz w:val="24"/>
                <w:szCs w:val="24"/>
                <w:bdr w:val="none" w:sz="0" w:space="0" w:color="auto" w:frame="1"/>
              </w:rPr>
              <w:t>收购泛博制动</w:t>
            </w:r>
            <w:proofErr w:type="gramEnd"/>
            <w:r w:rsidRPr="00CF328D">
              <w:rPr>
                <w:rFonts w:ascii="Times New Roman" w:hAnsi="Times New Roman" w:hint="eastAsia"/>
                <w:color w:val="333333"/>
                <w:kern w:val="0"/>
                <w:sz w:val="24"/>
                <w:szCs w:val="24"/>
                <w:bdr w:val="none" w:sz="0" w:space="0" w:color="auto" w:frame="1"/>
              </w:rPr>
              <w:t>控股的全部股份并获得单独控制权。</w:t>
            </w:r>
          </w:p>
        </w:tc>
      </w:tr>
      <w:tr w:rsidR="00CB00DF" w:rsidRPr="00CF328D" w:rsidTr="00AA2FCD">
        <w:trPr>
          <w:trHeight w:val="468"/>
        </w:trPr>
        <w:tc>
          <w:tcPr>
            <w:tcW w:w="1809" w:type="dxa"/>
            <w:vMerge w:val="restart"/>
            <w:shd w:val="clear" w:color="auto" w:fill="D9D9D9"/>
            <w:vAlign w:val="center"/>
          </w:tcPr>
          <w:p w:rsidR="00F1624E"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t>参与集中的</w:t>
            </w:r>
          </w:p>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t>经营者简介</w:t>
            </w:r>
          </w:p>
        </w:tc>
        <w:tc>
          <w:tcPr>
            <w:tcW w:w="1985" w:type="dxa"/>
          </w:tcPr>
          <w:p w:rsidR="00CB00DF" w:rsidRPr="00CF328D" w:rsidRDefault="00CB00DF" w:rsidP="006908A4">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color w:val="333333"/>
                <w:kern w:val="0"/>
                <w:sz w:val="24"/>
                <w:szCs w:val="24"/>
                <w:bdr w:val="none" w:sz="0" w:space="0" w:color="auto" w:frame="1"/>
              </w:rPr>
              <w:t>1</w:t>
            </w:r>
            <w:r w:rsidRPr="00CF328D">
              <w:rPr>
                <w:rFonts w:ascii="Times New Roman" w:hAnsi="Times New Roman"/>
                <w:color w:val="333333"/>
                <w:kern w:val="0"/>
                <w:sz w:val="24"/>
                <w:szCs w:val="24"/>
                <w:bdr w:val="none" w:sz="0" w:space="0" w:color="auto" w:frame="1"/>
              </w:rPr>
              <w:t>、</w:t>
            </w:r>
            <w:r w:rsidR="00AA2FCD" w:rsidRPr="00CF328D">
              <w:rPr>
                <w:rFonts w:ascii="Times New Roman" w:hAnsi="Times New Roman" w:hint="eastAsia"/>
                <w:color w:val="333333"/>
                <w:kern w:val="0"/>
                <w:sz w:val="24"/>
                <w:szCs w:val="24"/>
                <w:bdr w:val="none" w:sz="0" w:space="0" w:color="auto" w:frame="1"/>
              </w:rPr>
              <w:t>日立汽车系统</w:t>
            </w:r>
          </w:p>
        </w:tc>
        <w:tc>
          <w:tcPr>
            <w:tcW w:w="4964" w:type="dxa"/>
          </w:tcPr>
          <w:p w:rsidR="00CB00DF" w:rsidRPr="00CF328D" w:rsidRDefault="00AA2FCD" w:rsidP="00AA2FCD">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日立汽车系统主要从事包括乘用车制动部件在内的汽车产品和技术的生产和供应。日立汽车系统在日本、美国、墨西哥、德国、法国、捷克共和国、英国、中国、泰国、新加坡、印度尼西亚、印度和韩国开展业务。</w:t>
            </w:r>
          </w:p>
        </w:tc>
      </w:tr>
      <w:tr w:rsidR="00AA2FCD" w:rsidRPr="00CF328D" w:rsidTr="00AA2FCD">
        <w:trPr>
          <w:trHeight w:val="1510"/>
        </w:trPr>
        <w:tc>
          <w:tcPr>
            <w:tcW w:w="1809" w:type="dxa"/>
            <w:vMerge/>
            <w:shd w:val="clear" w:color="auto" w:fill="D9D9D9"/>
            <w:vAlign w:val="center"/>
          </w:tcPr>
          <w:p w:rsidR="00AA2FCD" w:rsidRPr="00CF328D" w:rsidRDefault="00AA2FCD" w:rsidP="00CB00DF">
            <w:pPr>
              <w:spacing w:line="500" w:lineRule="exact"/>
              <w:jc w:val="center"/>
              <w:rPr>
                <w:rFonts w:ascii="Times New Roman" w:hAnsi="Times New Roman"/>
                <w:b/>
                <w:color w:val="333333"/>
                <w:kern w:val="0"/>
                <w:sz w:val="24"/>
                <w:szCs w:val="24"/>
                <w:bdr w:val="none" w:sz="0" w:space="0" w:color="auto" w:frame="1"/>
              </w:rPr>
            </w:pPr>
          </w:p>
        </w:tc>
        <w:tc>
          <w:tcPr>
            <w:tcW w:w="1985" w:type="dxa"/>
          </w:tcPr>
          <w:p w:rsidR="00AA2FCD" w:rsidRPr="00CF328D" w:rsidRDefault="00AA2FCD" w:rsidP="006908A4">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color w:val="333333"/>
                <w:kern w:val="0"/>
                <w:sz w:val="24"/>
                <w:szCs w:val="24"/>
                <w:bdr w:val="none" w:sz="0" w:space="0" w:color="auto" w:frame="1"/>
              </w:rPr>
              <w:t>2</w:t>
            </w:r>
            <w:r w:rsidRPr="00CF328D">
              <w:rPr>
                <w:rFonts w:ascii="Times New Roman" w:hAnsi="Times New Roman"/>
                <w:color w:val="333333"/>
                <w:kern w:val="0"/>
                <w:sz w:val="24"/>
                <w:szCs w:val="24"/>
                <w:bdr w:val="none" w:sz="0" w:space="0" w:color="auto" w:frame="1"/>
              </w:rPr>
              <w:t>、</w:t>
            </w:r>
            <w:proofErr w:type="gramStart"/>
            <w:r w:rsidRPr="00CF328D">
              <w:rPr>
                <w:rFonts w:ascii="Times New Roman" w:hAnsi="Times New Roman" w:hint="eastAsia"/>
                <w:color w:val="333333"/>
                <w:kern w:val="0"/>
                <w:sz w:val="24"/>
                <w:szCs w:val="24"/>
                <w:bdr w:val="none" w:sz="0" w:space="0" w:color="auto" w:frame="1"/>
              </w:rPr>
              <w:t>泛博制动</w:t>
            </w:r>
            <w:proofErr w:type="gramEnd"/>
            <w:r w:rsidRPr="00CF328D">
              <w:rPr>
                <w:rFonts w:ascii="Times New Roman" w:hAnsi="Times New Roman" w:hint="eastAsia"/>
                <w:color w:val="333333"/>
                <w:kern w:val="0"/>
                <w:sz w:val="24"/>
                <w:szCs w:val="24"/>
                <w:bdr w:val="none" w:sz="0" w:space="0" w:color="auto" w:frame="1"/>
              </w:rPr>
              <w:t>控股</w:t>
            </w:r>
          </w:p>
        </w:tc>
        <w:tc>
          <w:tcPr>
            <w:tcW w:w="4964" w:type="dxa"/>
          </w:tcPr>
          <w:p w:rsidR="00AA2FCD" w:rsidRPr="00CF328D" w:rsidRDefault="002F2ADF" w:rsidP="00BC1AFC">
            <w:pPr>
              <w:spacing w:line="500" w:lineRule="exact"/>
              <w:rPr>
                <w:rFonts w:ascii="Times New Roman" w:hAnsi="Times New Roman"/>
                <w:color w:val="333333"/>
                <w:kern w:val="0"/>
                <w:sz w:val="24"/>
                <w:szCs w:val="24"/>
                <w:bdr w:val="none" w:sz="0" w:space="0" w:color="auto" w:frame="1"/>
              </w:rPr>
            </w:pPr>
            <w:proofErr w:type="gramStart"/>
            <w:r w:rsidRPr="00CF328D">
              <w:rPr>
                <w:rFonts w:ascii="Times New Roman" w:hAnsi="Times New Roman" w:hint="eastAsia"/>
                <w:color w:val="333333"/>
                <w:kern w:val="0"/>
                <w:sz w:val="24"/>
                <w:szCs w:val="24"/>
                <w:bdr w:val="none" w:sz="0" w:space="0" w:color="auto" w:frame="1"/>
              </w:rPr>
              <w:t>泛博制动</w:t>
            </w:r>
            <w:proofErr w:type="gramEnd"/>
            <w:r w:rsidRPr="00CF328D">
              <w:rPr>
                <w:rFonts w:ascii="Times New Roman" w:hAnsi="Times New Roman" w:hint="eastAsia"/>
                <w:color w:val="333333"/>
                <w:kern w:val="0"/>
                <w:sz w:val="24"/>
                <w:szCs w:val="24"/>
                <w:bdr w:val="none" w:sz="0" w:space="0" w:color="auto" w:frame="1"/>
              </w:rPr>
              <w:t>控股主要从事乘用车制动部件的生产和供应。</w:t>
            </w:r>
            <w:proofErr w:type="gramStart"/>
            <w:r w:rsidRPr="00CF328D">
              <w:rPr>
                <w:rFonts w:ascii="Times New Roman" w:hAnsi="Times New Roman" w:hint="eastAsia"/>
                <w:color w:val="333333"/>
                <w:kern w:val="0"/>
                <w:sz w:val="24"/>
                <w:szCs w:val="24"/>
                <w:bdr w:val="none" w:sz="0" w:space="0" w:color="auto" w:frame="1"/>
              </w:rPr>
              <w:t>泛博制动</w:t>
            </w:r>
            <w:proofErr w:type="gramEnd"/>
            <w:r w:rsidRPr="00CF328D">
              <w:rPr>
                <w:rFonts w:ascii="Times New Roman" w:hAnsi="Times New Roman" w:hint="eastAsia"/>
                <w:color w:val="333333"/>
                <w:kern w:val="0"/>
                <w:sz w:val="24"/>
                <w:szCs w:val="24"/>
                <w:bdr w:val="none" w:sz="0" w:space="0" w:color="auto" w:frame="1"/>
              </w:rPr>
              <w:t>控股总部位于荷兰，在欧盟、土耳其、中国、泰国、日本、南非、北美、拉丁美洲和印度均有开展业务。</w:t>
            </w:r>
          </w:p>
        </w:tc>
      </w:tr>
      <w:tr w:rsidR="00CB00DF" w:rsidRPr="00CF328D" w:rsidTr="00CB00DF">
        <w:trPr>
          <w:trHeight w:val="279"/>
        </w:trPr>
        <w:tc>
          <w:tcPr>
            <w:tcW w:w="1809" w:type="dxa"/>
            <w:vMerge w:val="restart"/>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t>简易案件理由（可以单选，也可以多选）</w:t>
            </w: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Wingdings" w:hAnsi="Wingdings"/>
                <w:sz w:val="24"/>
                <w:szCs w:val="24"/>
              </w:rPr>
              <w:sym w:font="Wingdings" w:char="F0FE"/>
            </w:r>
            <w:r w:rsidRPr="00CF328D">
              <w:rPr>
                <w:rFonts w:ascii="Wingdings" w:hAnsi="Wingdings"/>
                <w:sz w:val="24"/>
                <w:szCs w:val="24"/>
              </w:rPr>
              <w:t></w:t>
            </w:r>
            <w:r w:rsidR="00CB00DF" w:rsidRPr="00CF328D">
              <w:rPr>
                <w:rFonts w:ascii="Times New Roman" w:hAnsi="Times New Roman"/>
                <w:color w:val="333333"/>
                <w:kern w:val="0"/>
                <w:sz w:val="24"/>
                <w:szCs w:val="24"/>
                <w:bdr w:val="none" w:sz="0" w:space="0" w:color="auto" w:frame="1"/>
              </w:rPr>
              <w:t>1.</w:t>
            </w:r>
            <w:r w:rsidR="00CB00DF" w:rsidRPr="00CF328D">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CF328D">
              <w:rPr>
                <w:rFonts w:ascii="Times New Roman" w:hAnsi="Times New Roman"/>
                <w:color w:val="333333"/>
                <w:kern w:val="0"/>
                <w:sz w:val="24"/>
                <w:szCs w:val="24"/>
                <w:bdr w:val="none" w:sz="0" w:space="0" w:color="auto" w:frame="1"/>
              </w:rPr>
              <w:t>15%</w:t>
            </w:r>
            <w:r w:rsidR="00CB00DF" w:rsidRPr="00CF328D">
              <w:rPr>
                <w:rFonts w:ascii="Times New Roman" w:hAnsi="Times New Roman"/>
                <w:color w:val="333333"/>
                <w:kern w:val="0"/>
                <w:sz w:val="24"/>
                <w:szCs w:val="24"/>
                <w:bdr w:val="none" w:sz="0" w:space="0" w:color="auto" w:frame="1"/>
              </w:rPr>
              <w:t>。</w:t>
            </w:r>
          </w:p>
        </w:tc>
      </w:tr>
      <w:tr w:rsidR="00CB00DF" w:rsidRPr="00CF328D" w:rsidTr="00CB00DF">
        <w:trPr>
          <w:trHeight w:val="330"/>
        </w:trPr>
        <w:tc>
          <w:tcPr>
            <w:tcW w:w="1809" w:type="dxa"/>
            <w:vMerge/>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Wingdings" w:hAnsi="Wingdings"/>
                <w:sz w:val="24"/>
                <w:szCs w:val="24"/>
              </w:rPr>
              <w:sym w:font="Wingdings" w:char="F0FE"/>
            </w:r>
            <w:r w:rsidRPr="00CF328D">
              <w:rPr>
                <w:rFonts w:ascii="Wingdings" w:hAnsi="Wingdings"/>
                <w:sz w:val="24"/>
                <w:szCs w:val="24"/>
              </w:rPr>
              <w:t></w:t>
            </w:r>
            <w:r w:rsidR="00CB00DF" w:rsidRPr="00CF328D">
              <w:rPr>
                <w:rFonts w:ascii="Times New Roman" w:hAnsi="Times New Roman"/>
                <w:color w:val="333333"/>
                <w:kern w:val="0"/>
                <w:sz w:val="24"/>
                <w:szCs w:val="24"/>
                <w:bdr w:val="none" w:sz="0" w:space="0" w:color="auto" w:frame="1"/>
              </w:rPr>
              <w:t>2.</w:t>
            </w:r>
            <w:r w:rsidR="00CB00DF" w:rsidRPr="00CF328D">
              <w:rPr>
                <w:rFonts w:ascii="Times New Roman" w:hAnsi="Times New Roman"/>
                <w:color w:val="333333"/>
                <w:kern w:val="0"/>
                <w:sz w:val="24"/>
                <w:szCs w:val="24"/>
                <w:bdr w:val="none" w:sz="0" w:space="0" w:color="auto" w:frame="1"/>
              </w:rPr>
              <w:t>存在上下游关系的参与集中的经营者，在上下游市场所占的市场份额均小于</w:t>
            </w:r>
            <w:r w:rsidR="00CB00DF" w:rsidRPr="00CF328D">
              <w:rPr>
                <w:rFonts w:ascii="Times New Roman" w:hAnsi="Times New Roman"/>
                <w:color w:val="333333"/>
                <w:kern w:val="0"/>
                <w:sz w:val="24"/>
                <w:szCs w:val="24"/>
                <w:bdr w:val="none" w:sz="0" w:space="0" w:color="auto" w:frame="1"/>
              </w:rPr>
              <w:t>25%</w:t>
            </w:r>
            <w:r w:rsidR="00CB00DF" w:rsidRPr="00CF328D">
              <w:rPr>
                <w:rFonts w:ascii="Times New Roman" w:hAnsi="Times New Roman"/>
                <w:color w:val="333333"/>
                <w:kern w:val="0"/>
                <w:sz w:val="24"/>
                <w:szCs w:val="24"/>
                <w:bdr w:val="none" w:sz="0" w:space="0" w:color="auto" w:frame="1"/>
              </w:rPr>
              <w:t>。</w:t>
            </w:r>
          </w:p>
        </w:tc>
      </w:tr>
      <w:tr w:rsidR="00CB00DF" w:rsidRPr="00CF328D" w:rsidTr="00CB00DF">
        <w:trPr>
          <w:trHeight w:val="285"/>
        </w:trPr>
        <w:tc>
          <w:tcPr>
            <w:tcW w:w="1809" w:type="dxa"/>
            <w:vMerge/>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Wingdings" w:hAnsi="Wingdings"/>
                <w:sz w:val="24"/>
                <w:szCs w:val="24"/>
              </w:rPr>
              <w:sym w:font="Wingdings" w:char="F0A8"/>
            </w:r>
            <w:r w:rsidRPr="00CF328D">
              <w:rPr>
                <w:rFonts w:ascii="Times New Roman" w:hAnsi="Times New Roman"/>
                <w:color w:val="333333"/>
                <w:kern w:val="0"/>
                <w:sz w:val="24"/>
                <w:szCs w:val="24"/>
                <w:bdr w:val="none" w:sz="0" w:space="0" w:color="auto" w:frame="1"/>
              </w:rPr>
              <w:t xml:space="preserve"> </w:t>
            </w:r>
            <w:r w:rsidR="00CB00DF" w:rsidRPr="00CF328D">
              <w:rPr>
                <w:rFonts w:ascii="Times New Roman" w:hAnsi="Times New Roman"/>
                <w:color w:val="333333"/>
                <w:kern w:val="0"/>
                <w:sz w:val="24"/>
                <w:szCs w:val="24"/>
                <w:bdr w:val="none" w:sz="0" w:space="0" w:color="auto" w:frame="1"/>
              </w:rPr>
              <w:t>3.</w:t>
            </w:r>
            <w:r w:rsidR="00CB00DF" w:rsidRPr="00CF328D">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CF328D">
              <w:rPr>
                <w:rFonts w:ascii="Times New Roman" w:hAnsi="Times New Roman"/>
                <w:color w:val="333333"/>
                <w:kern w:val="0"/>
                <w:sz w:val="24"/>
                <w:szCs w:val="24"/>
                <w:bdr w:val="none" w:sz="0" w:space="0" w:color="auto" w:frame="1"/>
              </w:rPr>
              <w:t>25%</w:t>
            </w:r>
            <w:r w:rsidR="00CB00DF" w:rsidRPr="00CF328D">
              <w:rPr>
                <w:rFonts w:ascii="Times New Roman" w:hAnsi="Times New Roman"/>
                <w:color w:val="333333"/>
                <w:kern w:val="0"/>
                <w:sz w:val="24"/>
                <w:szCs w:val="24"/>
                <w:bdr w:val="none" w:sz="0" w:space="0" w:color="auto" w:frame="1"/>
              </w:rPr>
              <w:t>。</w:t>
            </w:r>
          </w:p>
        </w:tc>
      </w:tr>
      <w:tr w:rsidR="00CB00DF" w:rsidRPr="00CF328D" w:rsidTr="00CB00DF">
        <w:trPr>
          <w:trHeight w:val="870"/>
        </w:trPr>
        <w:tc>
          <w:tcPr>
            <w:tcW w:w="1809" w:type="dxa"/>
            <w:vMerge/>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Wingdings" w:hAnsi="Wingdings"/>
                <w:sz w:val="24"/>
                <w:szCs w:val="24"/>
              </w:rPr>
              <w:sym w:font="Wingdings" w:char="F0A8"/>
            </w:r>
            <w:r w:rsidRPr="00CF328D">
              <w:rPr>
                <w:rFonts w:ascii="Wingdings" w:hAnsi="Wingdings"/>
                <w:sz w:val="24"/>
                <w:szCs w:val="24"/>
              </w:rPr>
              <w:t></w:t>
            </w:r>
            <w:r w:rsidR="00CB00DF" w:rsidRPr="00CF328D">
              <w:rPr>
                <w:rFonts w:ascii="Times New Roman" w:hAnsi="Times New Roman"/>
                <w:color w:val="333333"/>
                <w:kern w:val="0"/>
                <w:sz w:val="24"/>
                <w:szCs w:val="24"/>
                <w:bdr w:val="none" w:sz="0" w:space="0" w:color="auto" w:frame="1"/>
              </w:rPr>
              <w:t>4.</w:t>
            </w:r>
            <w:r w:rsidR="00CB00DF" w:rsidRPr="00CF328D">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CF328D" w:rsidTr="00CB00DF">
        <w:trPr>
          <w:trHeight w:val="264"/>
        </w:trPr>
        <w:tc>
          <w:tcPr>
            <w:tcW w:w="1809" w:type="dxa"/>
            <w:vMerge/>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Wingdings" w:hAnsi="Wingdings"/>
                <w:sz w:val="24"/>
                <w:szCs w:val="24"/>
              </w:rPr>
              <w:sym w:font="Wingdings" w:char="F0A8"/>
            </w:r>
            <w:r w:rsidRPr="00CF328D">
              <w:rPr>
                <w:rFonts w:ascii="Wingdings" w:hAnsi="Wingdings"/>
                <w:sz w:val="24"/>
                <w:szCs w:val="24"/>
              </w:rPr>
              <w:t></w:t>
            </w:r>
            <w:r w:rsidR="00CB00DF" w:rsidRPr="00CF328D">
              <w:rPr>
                <w:rFonts w:ascii="Times New Roman" w:hAnsi="Times New Roman"/>
                <w:color w:val="333333"/>
                <w:kern w:val="0"/>
                <w:sz w:val="24"/>
                <w:szCs w:val="24"/>
                <w:bdr w:val="none" w:sz="0" w:space="0" w:color="auto" w:frame="1"/>
              </w:rPr>
              <w:t>5.</w:t>
            </w:r>
            <w:r w:rsidR="00CB00DF" w:rsidRPr="00CF328D">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CF328D" w:rsidTr="00CB00DF">
        <w:trPr>
          <w:trHeight w:val="345"/>
        </w:trPr>
        <w:tc>
          <w:tcPr>
            <w:tcW w:w="1809" w:type="dxa"/>
            <w:vMerge/>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p>
        </w:tc>
        <w:tc>
          <w:tcPr>
            <w:tcW w:w="6949" w:type="dxa"/>
            <w:gridSpan w:val="2"/>
          </w:tcPr>
          <w:p w:rsidR="00CB00DF" w:rsidRPr="00CF328D" w:rsidRDefault="007C7851" w:rsidP="006908A4">
            <w:pPr>
              <w:spacing w:line="500" w:lineRule="exact"/>
              <w:rPr>
                <w:rFonts w:ascii="Times New Roman" w:hAnsi="Times New Roman"/>
                <w:color w:val="333333"/>
                <w:kern w:val="0"/>
                <w:sz w:val="24"/>
                <w:szCs w:val="24"/>
                <w:bdr w:val="none" w:sz="0" w:space="0" w:color="auto" w:frame="1"/>
              </w:rPr>
            </w:pPr>
            <w:r w:rsidRPr="00CF328D">
              <w:rPr>
                <w:rFonts w:ascii="Wingdings" w:hAnsi="Wingdings"/>
                <w:sz w:val="24"/>
                <w:szCs w:val="24"/>
              </w:rPr>
              <w:sym w:font="Wingdings" w:char="F0A8"/>
            </w:r>
            <w:r w:rsidRPr="00CF328D">
              <w:rPr>
                <w:rFonts w:ascii="Wingdings" w:hAnsi="Wingdings"/>
                <w:sz w:val="24"/>
                <w:szCs w:val="24"/>
              </w:rPr>
              <w:t></w:t>
            </w:r>
            <w:r w:rsidR="00CB00DF" w:rsidRPr="00CF328D">
              <w:rPr>
                <w:rFonts w:ascii="Times New Roman" w:hAnsi="Times New Roman"/>
                <w:color w:val="333333"/>
                <w:kern w:val="0"/>
                <w:sz w:val="24"/>
                <w:szCs w:val="24"/>
                <w:bdr w:val="none" w:sz="0" w:space="0" w:color="auto" w:frame="1"/>
              </w:rPr>
              <w:t>6.</w:t>
            </w:r>
            <w:r w:rsidR="00CB00DF" w:rsidRPr="00CF328D">
              <w:rPr>
                <w:rFonts w:ascii="Times New Roman" w:hAnsi="Times New Roman"/>
                <w:color w:val="333333"/>
                <w:kern w:val="0"/>
                <w:sz w:val="24"/>
                <w:szCs w:val="24"/>
                <w:bdr w:val="none" w:sz="0" w:space="0" w:color="auto" w:frame="1"/>
              </w:rPr>
              <w:t>由两个以上的经营者共同控制的合营企业，通过集中被其</w:t>
            </w:r>
            <w:r w:rsidR="00CB00DF" w:rsidRPr="00CF328D">
              <w:rPr>
                <w:rFonts w:ascii="Times New Roman" w:hAnsi="Times New Roman"/>
                <w:color w:val="333333"/>
                <w:kern w:val="0"/>
                <w:sz w:val="24"/>
                <w:szCs w:val="24"/>
                <w:bdr w:val="none" w:sz="0" w:space="0" w:color="auto" w:frame="1"/>
              </w:rPr>
              <w:lastRenderedPageBreak/>
              <w:t>中一个或一个以上经营者控制。</w:t>
            </w:r>
          </w:p>
        </w:tc>
      </w:tr>
      <w:tr w:rsidR="00CB00DF" w:rsidRPr="00CF328D" w:rsidTr="00CB00DF">
        <w:tc>
          <w:tcPr>
            <w:tcW w:w="1809" w:type="dxa"/>
            <w:shd w:val="clear" w:color="auto" w:fill="D9D9D9"/>
            <w:vAlign w:val="center"/>
          </w:tcPr>
          <w:p w:rsidR="00CB00DF" w:rsidRPr="00CF328D" w:rsidRDefault="00CB00DF" w:rsidP="00CB00DF">
            <w:pPr>
              <w:spacing w:line="500" w:lineRule="exact"/>
              <w:jc w:val="center"/>
              <w:rPr>
                <w:rFonts w:ascii="Times New Roman" w:hAnsi="Times New Roman"/>
                <w:b/>
                <w:color w:val="333333"/>
                <w:kern w:val="0"/>
                <w:sz w:val="24"/>
                <w:szCs w:val="24"/>
                <w:bdr w:val="none" w:sz="0" w:space="0" w:color="auto" w:frame="1"/>
              </w:rPr>
            </w:pPr>
            <w:r w:rsidRPr="00CF328D">
              <w:rPr>
                <w:rFonts w:ascii="Times New Roman" w:hAnsi="Times New Roman"/>
                <w:b/>
                <w:color w:val="333333"/>
                <w:kern w:val="0"/>
                <w:sz w:val="24"/>
                <w:szCs w:val="24"/>
                <w:bdr w:val="none" w:sz="0" w:space="0" w:color="auto" w:frame="1"/>
              </w:rPr>
              <w:lastRenderedPageBreak/>
              <w:t>备注</w:t>
            </w:r>
          </w:p>
        </w:tc>
        <w:tc>
          <w:tcPr>
            <w:tcW w:w="6949" w:type="dxa"/>
            <w:gridSpan w:val="2"/>
          </w:tcPr>
          <w:p w:rsidR="00CB00DF" w:rsidRPr="00CF328D" w:rsidRDefault="006F7541" w:rsidP="006908A4">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相关产品市场：</w:t>
            </w:r>
          </w:p>
          <w:p w:rsidR="006F7541" w:rsidRPr="00CF328D" w:rsidRDefault="006F7541" w:rsidP="006908A4">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 xml:space="preserve">1. </w:t>
            </w:r>
            <w:r w:rsidRPr="00CF328D">
              <w:rPr>
                <w:rFonts w:ascii="Times New Roman" w:hAnsi="Times New Roman" w:hint="eastAsia"/>
                <w:color w:val="333333"/>
                <w:kern w:val="0"/>
                <w:sz w:val="24"/>
                <w:szCs w:val="24"/>
                <w:bdr w:val="none" w:sz="0" w:space="0" w:color="auto" w:frame="1"/>
              </w:rPr>
              <w:t>制动衬块（地域市场：中国）</w:t>
            </w:r>
          </w:p>
          <w:p w:rsidR="006F7541" w:rsidRPr="00CF328D" w:rsidRDefault="009501EE" w:rsidP="009501EE">
            <w:pPr>
              <w:spacing w:line="500" w:lineRule="exact"/>
              <w:ind w:left="2" w:firstLineChars="70" w:firstLine="168"/>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 xml:space="preserve"> </w:t>
            </w:r>
            <w:r w:rsidRPr="00CF328D">
              <w:rPr>
                <w:rFonts w:ascii="Times New Roman" w:hAnsi="Times New Roman" w:hint="eastAsia"/>
                <w:color w:val="333333"/>
                <w:kern w:val="0"/>
                <w:sz w:val="24"/>
                <w:szCs w:val="24"/>
                <w:bdr w:val="none" w:sz="0" w:space="0" w:color="auto" w:frame="1"/>
              </w:rPr>
              <w:t>交易双方合并份额：</w:t>
            </w:r>
            <w:r w:rsidR="009C7049" w:rsidRPr="009C7049">
              <w:rPr>
                <w:rFonts w:ascii="Times New Roman" w:hAnsi="Times New Roman"/>
                <w:color w:val="333333"/>
                <w:kern w:val="0"/>
                <w:sz w:val="24"/>
                <w:szCs w:val="24"/>
                <w:bdr w:val="none" w:sz="0" w:space="0" w:color="auto" w:frame="1"/>
              </w:rPr>
              <w:t>[</w:t>
            </w:r>
            <w:r w:rsidR="005C2777">
              <w:rPr>
                <w:rFonts w:ascii="Times New Roman" w:hAnsi="Times New Roman"/>
                <w:color w:val="333333"/>
                <w:kern w:val="0"/>
                <w:sz w:val="24"/>
                <w:szCs w:val="24"/>
                <w:bdr w:val="none" w:sz="0" w:space="0" w:color="auto" w:frame="1"/>
              </w:rPr>
              <w:t>1</w:t>
            </w:r>
            <w:bookmarkStart w:id="0" w:name="_GoBack"/>
            <w:bookmarkEnd w:id="0"/>
            <w:r w:rsidR="009C7049" w:rsidRPr="009C7049">
              <w:rPr>
                <w:rFonts w:ascii="Times New Roman" w:hAnsi="Times New Roman"/>
                <w:color w:val="333333"/>
                <w:kern w:val="0"/>
                <w:sz w:val="24"/>
                <w:szCs w:val="24"/>
                <w:bdr w:val="none" w:sz="0" w:space="0" w:color="auto" w:frame="1"/>
              </w:rPr>
              <w:t>-5]</w:t>
            </w:r>
            <w:r w:rsidR="009C7049" w:rsidRPr="009C7049">
              <w:rPr>
                <w:rFonts w:ascii="Times New Roman" w:hAnsi="Times New Roman" w:hint="eastAsia"/>
                <w:color w:val="333333"/>
                <w:kern w:val="0"/>
                <w:sz w:val="24"/>
                <w:szCs w:val="24"/>
                <w:bdr w:val="none" w:sz="0" w:space="0" w:color="auto" w:frame="1"/>
              </w:rPr>
              <w:t>%</w:t>
            </w:r>
          </w:p>
          <w:p w:rsidR="006F7541" w:rsidRPr="00CF328D" w:rsidRDefault="006F7541" w:rsidP="006908A4">
            <w:pPr>
              <w:spacing w:line="500" w:lineRule="exact"/>
              <w:rPr>
                <w:rFonts w:ascii="Times New Roman" w:hAnsi="Times New Roman"/>
                <w:color w:val="333333"/>
                <w:kern w:val="0"/>
                <w:sz w:val="24"/>
                <w:szCs w:val="24"/>
                <w:bdr w:val="none" w:sz="0" w:space="0" w:color="auto" w:frame="1"/>
              </w:rPr>
            </w:pPr>
            <w:r w:rsidRPr="00CF328D">
              <w:rPr>
                <w:rFonts w:ascii="Times New Roman" w:hAnsi="Times New Roman"/>
                <w:color w:val="333333"/>
                <w:kern w:val="0"/>
                <w:sz w:val="24"/>
                <w:szCs w:val="24"/>
                <w:bdr w:val="none" w:sz="0" w:space="0" w:color="auto" w:frame="1"/>
              </w:rPr>
              <w:t xml:space="preserve">2. </w:t>
            </w:r>
            <w:r w:rsidRPr="00CF328D">
              <w:rPr>
                <w:rFonts w:ascii="Times New Roman" w:hAnsi="Times New Roman" w:hint="eastAsia"/>
                <w:color w:val="333333"/>
                <w:kern w:val="0"/>
                <w:sz w:val="24"/>
                <w:szCs w:val="24"/>
                <w:bdr w:val="none" w:sz="0" w:space="0" w:color="auto" w:frame="1"/>
              </w:rPr>
              <w:t>制动卡钳和制动衬块（以组装产品的形式）（地域市场：中国）</w:t>
            </w:r>
          </w:p>
          <w:p w:rsidR="006F7541" w:rsidRPr="00CF328D" w:rsidRDefault="009501EE" w:rsidP="009501EE">
            <w:pPr>
              <w:spacing w:line="500" w:lineRule="exact"/>
              <w:ind w:firstLineChars="130" w:firstLine="312"/>
              <w:rPr>
                <w:rFonts w:ascii="Times New Roman" w:hAnsi="Times New Roman"/>
                <w:color w:val="333333"/>
                <w:kern w:val="0"/>
                <w:sz w:val="24"/>
                <w:szCs w:val="24"/>
                <w:bdr w:val="none" w:sz="0" w:space="0" w:color="auto" w:frame="1"/>
              </w:rPr>
            </w:pPr>
            <w:r w:rsidRPr="00CF328D">
              <w:rPr>
                <w:rFonts w:ascii="Times New Roman" w:hAnsi="Times New Roman" w:hint="eastAsia"/>
                <w:color w:val="333333"/>
                <w:kern w:val="0"/>
                <w:sz w:val="24"/>
                <w:szCs w:val="24"/>
                <w:bdr w:val="none" w:sz="0" w:space="0" w:color="auto" w:frame="1"/>
              </w:rPr>
              <w:t>交易双方合并份额：</w:t>
            </w:r>
            <w:r w:rsidRPr="00CF328D">
              <w:rPr>
                <w:rFonts w:ascii="Times New Roman" w:hAnsi="Times New Roman"/>
                <w:color w:val="333333"/>
                <w:kern w:val="0"/>
                <w:sz w:val="24"/>
                <w:szCs w:val="24"/>
                <w:bdr w:val="none" w:sz="0" w:space="0" w:color="auto" w:frame="1"/>
              </w:rPr>
              <w:t>[10-15]</w:t>
            </w:r>
            <w:r w:rsidRPr="00CF328D">
              <w:rPr>
                <w:rFonts w:ascii="Times New Roman" w:hAnsi="Times New Roman" w:hint="eastAsia"/>
                <w:color w:val="333333"/>
                <w:kern w:val="0"/>
                <w:sz w:val="24"/>
                <w:szCs w:val="24"/>
                <w:bdr w:val="none" w:sz="0" w:space="0" w:color="auto" w:frame="1"/>
              </w:rPr>
              <w:t>%</w:t>
            </w:r>
          </w:p>
        </w:tc>
      </w:tr>
    </w:tbl>
    <w:p w:rsidR="00CB00DF" w:rsidRDefault="00CB00DF" w:rsidP="00CB00DF">
      <w:pPr>
        <w:snapToGrid w:val="0"/>
        <w:spacing w:line="240" w:lineRule="exact"/>
        <w:jc w:val="left"/>
        <w:rPr>
          <w:rFonts w:ascii="Times New Roman" w:hAnsi="Times New Roman"/>
          <w:sz w:val="24"/>
          <w:szCs w:val="24"/>
        </w:rPr>
      </w:pPr>
    </w:p>
    <w:p w:rsidR="00CF328D" w:rsidRPr="00CF328D" w:rsidRDefault="00CF328D" w:rsidP="00CB00DF">
      <w:pPr>
        <w:snapToGrid w:val="0"/>
        <w:spacing w:line="240" w:lineRule="exact"/>
        <w:jc w:val="left"/>
        <w:rPr>
          <w:rFonts w:ascii="Times New Roman" w:hAnsi="Times New Roman"/>
          <w:sz w:val="24"/>
          <w:szCs w:val="24"/>
        </w:rPr>
      </w:pPr>
    </w:p>
    <w:p w:rsidR="00CB00DF" w:rsidRPr="00CF328D" w:rsidRDefault="00CB00DF" w:rsidP="00CB00DF">
      <w:pPr>
        <w:snapToGrid w:val="0"/>
        <w:spacing w:line="240" w:lineRule="exact"/>
        <w:jc w:val="left"/>
        <w:rPr>
          <w:rFonts w:ascii="Times New Roman" w:hAnsi="Times New Roman"/>
          <w:sz w:val="24"/>
          <w:szCs w:val="24"/>
        </w:rPr>
      </w:pPr>
      <w:r w:rsidRPr="00CF328D">
        <w:rPr>
          <w:rFonts w:ascii="Times New Roman" w:hAnsi="Times New Roman"/>
          <w:sz w:val="24"/>
          <w:szCs w:val="24"/>
        </w:rPr>
        <w:t>注解：</w:t>
      </w:r>
    </w:p>
    <w:p w:rsidR="00CB00DF" w:rsidRPr="00CF328D" w:rsidRDefault="00CB00DF" w:rsidP="00CB00DF">
      <w:pPr>
        <w:snapToGrid w:val="0"/>
        <w:spacing w:line="360" w:lineRule="auto"/>
        <w:ind w:firstLineChars="200" w:firstLine="480"/>
        <w:jc w:val="left"/>
        <w:rPr>
          <w:rFonts w:ascii="Times New Roman" w:hAnsi="Times New Roman"/>
          <w:sz w:val="24"/>
          <w:szCs w:val="24"/>
        </w:rPr>
      </w:pPr>
      <w:r w:rsidRPr="00CF328D">
        <w:rPr>
          <w:rFonts w:ascii="Times New Roman" w:hAnsi="Times New Roman"/>
          <w:sz w:val="24"/>
          <w:szCs w:val="24"/>
        </w:rPr>
        <w:t>1.</w:t>
      </w:r>
      <w:r w:rsidRPr="00CF328D">
        <w:rPr>
          <w:rFonts w:ascii="Times New Roman" w:hAnsi="Times New Roman"/>
          <w:sz w:val="24"/>
          <w:szCs w:val="24"/>
        </w:rPr>
        <w:t>申报方申请简易案件的理由是基于</w:t>
      </w:r>
      <w:r w:rsidRPr="00CF328D">
        <w:rPr>
          <w:rFonts w:ascii="Times New Roman" w:hAnsi="Times New Roman"/>
          <w:sz w:val="24"/>
          <w:szCs w:val="24"/>
        </w:rPr>
        <w:t>1-3</w:t>
      </w:r>
      <w:r w:rsidRPr="00CF328D">
        <w:rPr>
          <w:rFonts w:ascii="Times New Roman" w:hAnsi="Times New Roman"/>
          <w:sz w:val="24"/>
          <w:szCs w:val="24"/>
        </w:rPr>
        <w:t>项时，须在备注中说明界定的相关商品市场和相关地域市场（无须阐述界定理由），以及相关市场份额；市场份额可以区间形式提供，区间幅度不应超过</w:t>
      </w:r>
      <w:r w:rsidRPr="00CF328D">
        <w:rPr>
          <w:rFonts w:ascii="Times New Roman" w:hAnsi="Times New Roman"/>
          <w:sz w:val="24"/>
          <w:szCs w:val="24"/>
        </w:rPr>
        <w:t>5%</w:t>
      </w:r>
      <w:r w:rsidRPr="00CF328D">
        <w:rPr>
          <w:rFonts w:ascii="Times New Roman" w:hAnsi="Times New Roman"/>
          <w:sz w:val="24"/>
          <w:szCs w:val="24"/>
        </w:rPr>
        <w:t>。</w:t>
      </w:r>
      <w:r w:rsidRPr="00CF328D">
        <w:rPr>
          <w:rFonts w:ascii="Times New Roman" w:hAnsi="Times New Roman"/>
          <w:sz w:val="24"/>
          <w:szCs w:val="24"/>
        </w:rPr>
        <w:t>1-3</w:t>
      </w:r>
      <w:r w:rsidRPr="00CF328D">
        <w:rPr>
          <w:rFonts w:ascii="Times New Roman" w:hAnsi="Times New Roman"/>
          <w:sz w:val="24"/>
          <w:szCs w:val="24"/>
        </w:rPr>
        <w:t>项可以多选，也可单选；</w:t>
      </w:r>
      <w:proofErr w:type="gramStart"/>
      <w:r w:rsidRPr="00CF328D">
        <w:rPr>
          <w:rFonts w:ascii="Times New Roman" w:hAnsi="Times New Roman"/>
          <w:sz w:val="24"/>
          <w:szCs w:val="24"/>
        </w:rPr>
        <w:t>没有勾选的</w:t>
      </w:r>
      <w:proofErr w:type="gramEnd"/>
      <w:r w:rsidRPr="00CF328D">
        <w:rPr>
          <w:rFonts w:ascii="Times New Roman" w:hAnsi="Times New Roman"/>
          <w:sz w:val="24"/>
          <w:szCs w:val="24"/>
        </w:rPr>
        <w:t>，视为本集中不涉及该类型交易。</w:t>
      </w:r>
    </w:p>
    <w:p w:rsidR="00CB00DF" w:rsidRPr="00CF328D" w:rsidRDefault="00CB00DF" w:rsidP="00CB00DF">
      <w:pPr>
        <w:spacing w:line="360" w:lineRule="auto"/>
        <w:ind w:firstLineChars="200" w:firstLine="480"/>
        <w:rPr>
          <w:rFonts w:ascii="Times New Roman" w:hAnsi="Times New Roman"/>
          <w:sz w:val="24"/>
          <w:szCs w:val="24"/>
        </w:rPr>
      </w:pPr>
      <w:r w:rsidRPr="00CF328D">
        <w:rPr>
          <w:rFonts w:ascii="Times New Roman" w:hAnsi="Times New Roman"/>
          <w:sz w:val="24"/>
          <w:szCs w:val="24"/>
        </w:rPr>
        <w:t>2.</w:t>
      </w:r>
      <w:r w:rsidRPr="00CF328D">
        <w:rPr>
          <w:rFonts w:ascii="Times New Roman" w:hAnsi="Times New Roman"/>
          <w:sz w:val="24"/>
          <w:szCs w:val="24"/>
        </w:rPr>
        <w:t>申报方申请简易案件的理由是基于第</w:t>
      </w:r>
      <w:r w:rsidRPr="00CF328D">
        <w:rPr>
          <w:rFonts w:ascii="Times New Roman" w:hAnsi="Times New Roman"/>
          <w:sz w:val="24"/>
          <w:szCs w:val="24"/>
        </w:rPr>
        <w:t>4</w:t>
      </w:r>
      <w:r w:rsidRPr="00CF328D">
        <w:rPr>
          <w:rFonts w:ascii="Times New Roman" w:hAnsi="Times New Roman"/>
          <w:sz w:val="24"/>
          <w:szCs w:val="24"/>
        </w:rPr>
        <w:t>项、第</w:t>
      </w:r>
      <w:r w:rsidRPr="00CF328D">
        <w:rPr>
          <w:rFonts w:ascii="Times New Roman" w:hAnsi="Times New Roman"/>
          <w:sz w:val="24"/>
          <w:szCs w:val="24"/>
        </w:rPr>
        <w:t>5</w:t>
      </w:r>
      <w:r w:rsidRPr="00CF328D">
        <w:rPr>
          <w:rFonts w:ascii="Times New Roman" w:hAnsi="Times New Roman"/>
          <w:sz w:val="24"/>
          <w:szCs w:val="24"/>
        </w:rPr>
        <w:t>项时，无须在备注中说明相关市场和市场份额。</w:t>
      </w:r>
      <w:r w:rsidRPr="00CF328D">
        <w:rPr>
          <w:rFonts w:ascii="Times New Roman" w:hAnsi="Times New Roman"/>
          <w:sz w:val="24"/>
          <w:szCs w:val="24"/>
        </w:rPr>
        <w:br/>
        <w:t xml:space="preserve">    3.</w:t>
      </w:r>
      <w:r w:rsidRPr="00CF328D">
        <w:rPr>
          <w:rFonts w:ascii="Times New Roman"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CF328D">
        <w:rPr>
          <w:rFonts w:ascii="Times New Roman" w:hAnsi="Times New Roman"/>
          <w:sz w:val="24"/>
          <w:szCs w:val="24"/>
        </w:rPr>
        <w:t>同时勾选第</w:t>
      </w:r>
      <w:r w:rsidRPr="00CF328D">
        <w:rPr>
          <w:rFonts w:ascii="Times New Roman" w:hAnsi="Times New Roman"/>
          <w:sz w:val="24"/>
          <w:szCs w:val="24"/>
        </w:rPr>
        <w:t>1</w:t>
      </w:r>
      <w:r w:rsidRPr="00CF328D">
        <w:rPr>
          <w:rFonts w:ascii="Times New Roman" w:hAnsi="Times New Roman"/>
          <w:sz w:val="24"/>
          <w:szCs w:val="24"/>
        </w:rPr>
        <w:t>项</w:t>
      </w:r>
      <w:proofErr w:type="gramEnd"/>
      <w:r w:rsidRPr="00CF328D">
        <w:rPr>
          <w:rFonts w:ascii="Times New Roman" w:hAnsi="Times New Roman"/>
          <w:sz w:val="24"/>
          <w:szCs w:val="24"/>
        </w:rPr>
        <w:t>和第</w:t>
      </w:r>
      <w:r w:rsidRPr="00CF328D">
        <w:rPr>
          <w:rFonts w:ascii="Times New Roman" w:hAnsi="Times New Roman"/>
          <w:sz w:val="24"/>
          <w:szCs w:val="24"/>
        </w:rPr>
        <w:t>6</w:t>
      </w:r>
      <w:r w:rsidRPr="00CF328D">
        <w:rPr>
          <w:rFonts w:ascii="Times New Roman" w:hAnsi="Times New Roman"/>
          <w:sz w:val="24"/>
          <w:szCs w:val="24"/>
        </w:rPr>
        <w:t>项理由，并在备注中说明界定的相关商品市场和相关地域市场（无须阐述界定理由），以及相关市场份额。市场份额可以区间形式提供，区间幅度不应超过</w:t>
      </w:r>
      <w:r w:rsidRPr="00CF328D">
        <w:rPr>
          <w:rFonts w:ascii="Times New Roman" w:hAnsi="Times New Roman"/>
          <w:sz w:val="24"/>
          <w:szCs w:val="24"/>
        </w:rPr>
        <w:t>5%</w:t>
      </w:r>
      <w:r w:rsidRPr="00CF328D">
        <w:rPr>
          <w:rFonts w:ascii="Times New Roman" w:hAnsi="Times New Roman"/>
          <w:sz w:val="24"/>
          <w:szCs w:val="24"/>
        </w:rPr>
        <w:t>。</w:t>
      </w:r>
    </w:p>
    <w:p w:rsidR="00CB00DF" w:rsidRPr="00CF328D" w:rsidRDefault="00CB00DF" w:rsidP="00CB00DF">
      <w:pPr>
        <w:rPr>
          <w:rFonts w:ascii="Times New Roman" w:hAnsi="Times New Roman"/>
          <w:sz w:val="24"/>
          <w:szCs w:val="24"/>
        </w:rPr>
      </w:pPr>
    </w:p>
    <w:p w:rsidR="000F5E24" w:rsidRPr="00CF328D" w:rsidRDefault="007212FA">
      <w:pPr>
        <w:rPr>
          <w:rFonts w:ascii="Times New Roman" w:hAnsi="Times New Roman"/>
          <w:sz w:val="24"/>
          <w:szCs w:val="24"/>
        </w:rPr>
      </w:pPr>
    </w:p>
    <w:sectPr w:rsidR="000F5E24" w:rsidRPr="00CF328D" w:rsidSect="00ED21B1">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12FA" w:rsidRDefault="007212FA" w:rsidP="0052127E">
      <w:r>
        <w:separator/>
      </w:r>
    </w:p>
  </w:endnote>
  <w:endnote w:type="continuationSeparator" w:id="0">
    <w:p w:rsidR="007212FA" w:rsidRDefault="007212FA" w:rsidP="0052127E">
      <w:r>
        <w:continuationSeparator/>
      </w:r>
    </w:p>
  </w:endnote>
</w:endnotes>
</file>

<file path=word/fontTable.xml><?xml version="1.0" encoding="utf-8"?>
<w:fonts xmlns:r="http://schemas.openxmlformats.org/officeDocument/2006/relationships" xmlns:w="http://schemas.openxmlformats.org/wordprocessingml/2006/main">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5633274"/>
      <w:docPartObj>
        <w:docPartGallery w:val="Page Numbers (Bottom of Page)"/>
        <w:docPartUnique/>
      </w:docPartObj>
    </w:sdtPr>
    <w:sdtEndPr>
      <w:rPr>
        <w:rFonts w:ascii="Times New Roman" w:hAnsi="Times New Roman"/>
      </w:rPr>
    </w:sdtEndPr>
    <w:sdtContent>
      <w:p w:rsidR="0052127E" w:rsidRPr="0052127E" w:rsidRDefault="004524FB">
        <w:pPr>
          <w:pStyle w:val="a4"/>
          <w:jc w:val="center"/>
          <w:rPr>
            <w:rFonts w:ascii="Times New Roman" w:hAnsi="Times New Roman"/>
          </w:rPr>
        </w:pPr>
        <w:r w:rsidRPr="0052127E">
          <w:rPr>
            <w:rFonts w:ascii="Times New Roman" w:hAnsi="Times New Roman"/>
          </w:rPr>
          <w:fldChar w:fldCharType="begin"/>
        </w:r>
        <w:r w:rsidR="0052127E" w:rsidRPr="0052127E">
          <w:rPr>
            <w:rFonts w:ascii="Times New Roman" w:hAnsi="Times New Roman"/>
          </w:rPr>
          <w:instrText>PAGE   \* MERGEFORMAT</w:instrText>
        </w:r>
        <w:r w:rsidRPr="0052127E">
          <w:rPr>
            <w:rFonts w:ascii="Times New Roman" w:hAnsi="Times New Roman"/>
          </w:rPr>
          <w:fldChar w:fldCharType="separate"/>
        </w:r>
        <w:r w:rsidR="008B1FD6" w:rsidRPr="008B1FD6">
          <w:rPr>
            <w:rFonts w:ascii="Times New Roman" w:hAnsi="Times New Roman"/>
            <w:noProof/>
            <w:lang w:val="zh-CN"/>
          </w:rPr>
          <w:t>1</w:t>
        </w:r>
        <w:r w:rsidRPr="0052127E">
          <w:rPr>
            <w:rFonts w:ascii="Times New Roman" w:hAnsi="Times New Roman"/>
          </w:rPr>
          <w:fldChar w:fldCharType="end"/>
        </w:r>
      </w:p>
    </w:sdtContent>
  </w:sdt>
  <w:p w:rsidR="0052127E" w:rsidRDefault="0052127E">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12FA" w:rsidRDefault="007212FA" w:rsidP="0052127E">
      <w:r>
        <w:separator/>
      </w:r>
    </w:p>
  </w:footnote>
  <w:footnote w:type="continuationSeparator" w:id="0">
    <w:p w:rsidR="007212FA" w:rsidRDefault="007212FA" w:rsidP="0052127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iaoyiru">
    <w15:presenceInfo w15:providerId="AD" w15:userId="S-1-5-21-788616306-1294294142-2818065636-1928"/>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B00DF"/>
    <w:rsid w:val="00037065"/>
    <w:rsid w:val="000D7EBA"/>
    <w:rsid w:val="001164CD"/>
    <w:rsid w:val="00152763"/>
    <w:rsid w:val="00155717"/>
    <w:rsid w:val="001837A3"/>
    <w:rsid w:val="001F4709"/>
    <w:rsid w:val="002F2ADF"/>
    <w:rsid w:val="0037539A"/>
    <w:rsid w:val="003B723D"/>
    <w:rsid w:val="003C0AEB"/>
    <w:rsid w:val="004524FB"/>
    <w:rsid w:val="004617CB"/>
    <w:rsid w:val="004A17D3"/>
    <w:rsid w:val="004F7688"/>
    <w:rsid w:val="0052127E"/>
    <w:rsid w:val="00581FD1"/>
    <w:rsid w:val="005C2777"/>
    <w:rsid w:val="005D6799"/>
    <w:rsid w:val="006467D8"/>
    <w:rsid w:val="00650204"/>
    <w:rsid w:val="006A531B"/>
    <w:rsid w:val="006F7541"/>
    <w:rsid w:val="006F7693"/>
    <w:rsid w:val="00710140"/>
    <w:rsid w:val="007212FA"/>
    <w:rsid w:val="00731E90"/>
    <w:rsid w:val="007C7851"/>
    <w:rsid w:val="007F2275"/>
    <w:rsid w:val="00830805"/>
    <w:rsid w:val="00833A8F"/>
    <w:rsid w:val="008B1FD6"/>
    <w:rsid w:val="008B52C3"/>
    <w:rsid w:val="00915F0F"/>
    <w:rsid w:val="009501EE"/>
    <w:rsid w:val="009532DF"/>
    <w:rsid w:val="00997019"/>
    <w:rsid w:val="009A5029"/>
    <w:rsid w:val="009C7049"/>
    <w:rsid w:val="009D38D5"/>
    <w:rsid w:val="00A53F26"/>
    <w:rsid w:val="00AA0CC5"/>
    <w:rsid w:val="00AA2FCD"/>
    <w:rsid w:val="00B16AFE"/>
    <w:rsid w:val="00B42D28"/>
    <w:rsid w:val="00B65DD5"/>
    <w:rsid w:val="00B73FBA"/>
    <w:rsid w:val="00BC1AFC"/>
    <w:rsid w:val="00BD10B6"/>
    <w:rsid w:val="00C07076"/>
    <w:rsid w:val="00C1516E"/>
    <w:rsid w:val="00C555CF"/>
    <w:rsid w:val="00C7145B"/>
    <w:rsid w:val="00CB00DF"/>
    <w:rsid w:val="00CE35C3"/>
    <w:rsid w:val="00CF328D"/>
    <w:rsid w:val="00D73C72"/>
    <w:rsid w:val="00E045D9"/>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2127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2127E"/>
    <w:rPr>
      <w:rFonts w:ascii="Calibri" w:eastAsia="宋体" w:hAnsi="Calibri" w:cs="Times New Roman"/>
      <w:sz w:val="18"/>
      <w:szCs w:val="18"/>
    </w:rPr>
  </w:style>
  <w:style w:type="paragraph" w:styleId="a4">
    <w:name w:val="footer"/>
    <w:basedOn w:val="a"/>
    <w:link w:val="Char0"/>
    <w:uiPriority w:val="99"/>
    <w:unhideWhenUsed/>
    <w:rsid w:val="0052127E"/>
    <w:pPr>
      <w:tabs>
        <w:tab w:val="center" w:pos="4153"/>
        <w:tab w:val="right" w:pos="8306"/>
      </w:tabs>
      <w:snapToGrid w:val="0"/>
      <w:jc w:val="left"/>
    </w:pPr>
    <w:rPr>
      <w:sz w:val="18"/>
      <w:szCs w:val="18"/>
    </w:rPr>
  </w:style>
  <w:style w:type="character" w:customStyle="1" w:styleId="Char0">
    <w:name w:val="页脚 Char"/>
    <w:basedOn w:val="a0"/>
    <w:link w:val="a4"/>
    <w:uiPriority w:val="99"/>
    <w:rsid w:val="0052127E"/>
    <w:rPr>
      <w:rFonts w:ascii="Calibri" w:eastAsia="宋体" w:hAnsi="Calibri" w:cs="Times New Roman"/>
      <w:sz w:val="18"/>
      <w:szCs w:val="18"/>
    </w:rPr>
  </w:style>
  <w:style w:type="paragraph" w:styleId="a5">
    <w:name w:val="Balloon Text"/>
    <w:basedOn w:val="a"/>
    <w:link w:val="Char1"/>
    <w:uiPriority w:val="99"/>
    <w:semiHidden/>
    <w:unhideWhenUsed/>
    <w:rsid w:val="00BC1AFC"/>
    <w:rPr>
      <w:sz w:val="18"/>
      <w:szCs w:val="18"/>
    </w:rPr>
  </w:style>
  <w:style w:type="character" w:customStyle="1" w:styleId="Char1">
    <w:name w:val="批注框文本 Char"/>
    <w:basedOn w:val="a0"/>
    <w:link w:val="a5"/>
    <w:uiPriority w:val="99"/>
    <w:semiHidden/>
    <w:rsid w:val="00BC1AFC"/>
    <w:rPr>
      <w:rFonts w:ascii="Calibri" w:eastAsia="宋体" w:hAnsi="Calibri"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Sunland</cp:lastModifiedBy>
  <cp:revision>7</cp:revision>
  <dcterms:created xsi:type="dcterms:W3CDTF">2019-08-21T11:38:00Z</dcterms:created>
  <dcterms:modified xsi:type="dcterms:W3CDTF">2019-08-26T08:36:00Z</dcterms:modified>
</cp:coreProperties>
</file>