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EC5" w:rsidRPr="0070085F" w:rsidRDefault="00600EC5" w:rsidP="00600EC5">
      <w:pPr>
        <w:spacing w:line="500" w:lineRule="exact"/>
        <w:jc w:val="center"/>
        <w:rPr>
          <w:rFonts w:eastAsia="楷体_GB2312" w:cs="宋体"/>
          <w:b/>
          <w:color w:val="333333"/>
          <w:sz w:val="28"/>
          <w:bdr w:val="none" w:sz="0" w:space="0" w:color="auto" w:frame="1"/>
          <w:lang w:eastAsia="zh-CN"/>
        </w:rPr>
      </w:pPr>
      <w:r w:rsidRPr="0070085F">
        <w:rPr>
          <w:rFonts w:eastAsia="楷体_GB2312" w:cs="宋体" w:hint="eastAsia"/>
          <w:b/>
          <w:color w:val="333333"/>
          <w:sz w:val="28"/>
          <w:bdr w:val="none" w:sz="0" w:space="0" w:color="auto" w:frame="1"/>
          <w:lang w:eastAsia="zh-CN"/>
        </w:rPr>
        <w:t>经营者集中简易案件公示表</w:t>
      </w:r>
    </w:p>
    <w:p w:rsidR="00600EC5" w:rsidRDefault="00600EC5" w:rsidP="00600EC5">
      <w:pPr>
        <w:rPr>
          <w:lang w:eastAsia="zh-CN"/>
        </w:rPr>
      </w:pPr>
    </w:p>
    <w:p w:rsidR="00600EC5" w:rsidRDefault="00600EC5" w:rsidP="00600EC5">
      <w:pPr>
        <w:rPr>
          <w:lang w:eastAsia="zh-CN"/>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600EC5" w:rsidRPr="0088530B" w:rsidTr="003E708C">
        <w:trPr>
          <w:trHeight w:val="670"/>
        </w:trPr>
        <w:tc>
          <w:tcPr>
            <w:tcW w:w="1809" w:type="dxa"/>
            <w:shd w:val="clear" w:color="auto" w:fill="D9D9D9"/>
          </w:tcPr>
          <w:p w:rsidR="00600EC5" w:rsidRPr="00B75FF4" w:rsidRDefault="00600EC5" w:rsidP="003E708C">
            <w:pPr>
              <w:spacing w:line="500" w:lineRule="exact"/>
              <w:rPr>
                <w:rFonts w:eastAsia="楷体_GB2312" w:cs="宋体"/>
                <w:color w:val="333333"/>
                <w:sz w:val="28"/>
                <w:bdr w:val="none" w:sz="0" w:space="0" w:color="auto" w:frame="1"/>
              </w:rPr>
            </w:pPr>
            <w:r w:rsidRPr="00B75FF4">
              <w:rPr>
                <w:rFonts w:eastAsia="楷体_GB2312" w:cs="宋体" w:hint="eastAsia"/>
                <w:color w:val="333333"/>
                <w:sz w:val="28"/>
                <w:bdr w:val="none" w:sz="0" w:space="0" w:color="auto" w:frame="1"/>
              </w:rPr>
              <w:t>案件名称</w:t>
            </w:r>
          </w:p>
        </w:tc>
        <w:tc>
          <w:tcPr>
            <w:tcW w:w="6949" w:type="dxa"/>
            <w:gridSpan w:val="2"/>
            <w:vAlign w:val="center"/>
          </w:tcPr>
          <w:p w:rsidR="00600EC5" w:rsidRPr="00B75FF4" w:rsidRDefault="00600EC5" w:rsidP="003E708C">
            <w:pPr>
              <w:rPr>
                <w:rFonts w:eastAsia="楷体_GB2312" w:cs="宋体"/>
                <w:color w:val="333333"/>
                <w:sz w:val="28"/>
                <w:bdr w:val="none" w:sz="0" w:space="0" w:color="auto" w:frame="1"/>
                <w:lang w:eastAsia="zh-CN"/>
              </w:rPr>
            </w:pPr>
            <w:r w:rsidRPr="0070085F">
              <w:rPr>
                <w:rFonts w:eastAsia="楷体_GB2312" w:cs="宋体" w:hint="eastAsia"/>
                <w:color w:val="333333"/>
                <w:sz w:val="28"/>
                <w:bdr w:val="none" w:sz="0" w:space="0" w:color="auto" w:frame="1"/>
                <w:lang w:eastAsia="zh-CN"/>
              </w:rPr>
              <w:t>澳斯柯弥拿通第二私人有限公司和荷兰汇盈澳大利亚投资控股信托通过合同取得联实国际大厦悉尼信托的控制权案</w:t>
            </w:r>
            <w:r w:rsidRPr="00B75FF4">
              <w:rPr>
                <w:rFonts w:eastAsia="楷体_GB2312" w:cs="宋体" w:hint="eastAsia"/>
                <w:color w:val="333333"/>
                <w:sz w:val="28"/>
                <w:bdr w:val="none" w:sz="0" w:space="0" w:color="auto" w:frame="1"/>
                <w:lang w:eastAsia="zh-CN"/>
              </w:rPr>
              <w:t>（“本</w:t>
            </w:r>
            <w:r>
              <w:rPr>
                <w:rFonts w:eastAsia="楷体_GB2312" w:cs="宋体" w:hint="eastAsia"/>
                <w:color w:val="333333"/>
                <w:sz w:val="28"/>
                <w:bdr w:val="none" w:sz="0" w:space="0" w:color="auto" w:frame="1"/>
                <w:lang w:eastAsia="zh-CN"/>
              </w:rPr>
              <w:t>次</w:t>
            </w:r>
            <w:r w:rsidRPr="00B75FF4">
              <w:rPr>
                <w:rFonts w:eastAsia="楷体_GB2312" w:cs="宋体" w:hint="eastAsia"/>
                <w:color w:val="333333"/>
                <w:sz w:val="28"/>
                <w:bdr w:val="none" w:sz="0" w:space="0" w:color="auto" w:frame="1"/>
                <w:lang w:eastAsia="zh-CN"/>
              </w:rPr>
              <w:t>交易”）</w:t>
            </w:r>
          </w:p>
        </w:tc>
      </w:tr>
      <w:tr w:rsidR="00600EC5" w:rsidRPr="0088530B" w:rsidTr="003E708C">
        <w:trPr>
          <w:trHeight w:val="1260"/>
        </w:trPr>
        <w:tc>
          <w:tcPr>
            <w:tcW w:w="1809" w:type="dxa"/>
            <w:shd w:val="clear" w:color="auto" w:fill="D9D9D9"/>
          </w:tcPr>
          <w:p w:rsidR="00600EC5" w:rsidRPr="00B75FF4" w:rsidRDefault="00600EC5" w:rsidP="003E708C">
            <w:pPr>
              <w:spacing w:line="500" w:lineRule="exact"/>
              <w:rPr>
                <w:rFonts w:eastAsia="楷体_GB2312" w:cs="宋体"/>
                <w:color w:val="333333"/>
                <w:sz w:val="28"/>
                <w:bdr w:val="none" w:sz="0" w:space="0" w:color="auto" w:frame="1"/>
              </w:rPr>
            </w:pPr>
            <w:r w:rsidRPr="00B75FF4">
              <w:rPr>
                <w:rFonts w:eastAsia="楷体_GB2312" w:cs="宋体" w:hint="eastAsia"/>
                <w:color w:val="333333"/>
                <w:sz w:val="28"/>
                <w:bdr w:val="none" w:sz="0" w:space="0" w:color="auto" w:frame="1"/>
              </w:rPr>
              <w:t>交易概况（限</w:t>
            </w:r>
            <w:r w:rsidRPr="00B75FF4">
              <w:rPr>
                <w:rFonts w:eastAsia="楷体_GB2312" w:cs="宋体" w:hint="eastAsia"/>
                <w:color w:val="333333"/>
                <w:sz w:val="28"/>
                <w:bdr w:val="none" w:sz="0" w:space="0" w:color="auto" w:frame="1"/>
              </w:rPr>
              <w:t>200</w:t>
            </w:r>
            <w:r w:rsidRPr="00B75FF4">
              <w:rPr>
                <w:rFonts w:eastAsia="楷体_GB2312" w:cs="宋体" w:hint="eastAsia"/>
                <w:color w:val="333333"/>
                <w:sz w:val="28"/>
                <w:bdr w:val="none" w:sz="0" w:space="0" w:color="auto" w:frame="1"/>
              </w:rPr>
              <w:t>字内）</w:t>
            </w:r>
            <w:bookmarkStart w:id="0" w:name="_GoBack"/>
            <w:bookmarkEnd w:id="0"/>
          </w:p>
        </w:tc>
        <w:tc>
          <w:tcPr>
            <w:tcW w:w="6949" w:type="dxa"/>
            <w:gridSpan w:val="2"/>
            <w:vAlign w:val="center"/>
          </w:tcPr>
          <w:p w:rsidR="00600EC5" w:rsidRPr="00232C8B" w:rsidRDefault="00600EC5" w:rsidP="003E708C">
            <w:pPr>
              <w:snapToGrid w:val="0"/>
              <w:spacing w:after="240"/>
              <w:rPr>
                <w:rFonts w:eastAsia="楷体_GB2312" w:cs="宋体"/>
                <w:color w:val="333333"/>
                <w:sz w:val="28"/>
                <w:bdr w:val="none" w:sz="0" w:space="0" w:color="auto" w:frame="1"/>
              </w:rPr>
            </w:pPr>
            <w:r w:rsidRPr="00232C8B">
              <w:rPr>
                <w:rFonts w:eastAsia="楷体_GB2312" w:cs="宋体" w:hint="eastAsia"/>
                <w:color w:val="333333"/>
                <w:sz w:val="28"/>
                <w:bdr w:val="none" w:sz="0" w:space="0" w:color="auto" w:frame="1"/>
              </w:rPr>
              <w:t>本次交易前，联实国际大厦悉尼信托（“</w:t>
            </w:r>
            <w:r w:rsidRPr="00232C8B">
              <w:rPr>
                <w:rFonts w:eastAsia="楷体_GB2312" w:cs="宋体"/>
                <w:color w:val="333333"/>
                <w:sz w:val="28"/>
                <w:bdr w:val="none" w:sz="0" w:space="0" w:color="auto" w:frame="1"/>
              </w:rPr>
              <w:t>LLITST”</w:t>
            </w:r>
            <w:r w:rsidRPr="00232C8B">
              <w:rPr>
                <w:rFonts w:eastAsia="楷体_GB2312" w:cs="宋体"/>
                <w:color w:val="333333"/>
                <w:sz w:val="28"/>
                <w:bdr w:val="none" w:sz="0" w:space="0" w:color="auto" w:frame="1"/>
              </w:rPr>
              <w:t>）由加拿大养老金计划投资委员会澳大利亚控股信托（</w:t>
            </w:r>
            <w:r w:rsidRPr="00232C8B">
              <w:rPr>
                <w:rFonts w:eastAsia="楷体_GB2312" w:cs="宋体"/>
                <w:color w:val="333333"/>
                <w:sz w:val="28"/>
                <w:bdr w:val="none" w:sz="0" w:space="0" w:color="auto" w:frame="1"/>
              </w:rPr>
              <w:t>CPPIB Australian Holdings Trust</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 xml:space="preserve">“ CPPIB </w:t>
            </w:r>
            <w:r w:rsidRPr="00232C8B">
              <w:rPr>
                <w:rFonts w:eastAsia="楷体_GB2312" w:cs="宋体"/>
                <w:color w:val="333333"/>
                <w:sz w:val="28"/>
                <w:bdr w:val="none" w:sz="0" w:space="0" w:color="auto" w:frame="1"/>
              </w:rPr>
              <w:t>信托</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）和澳大利亚优质地产商业基金（</w:t>
            </w:r>
            <w:r w:rsidRPr="00232C8B">
              <w:rPr>
                <w:rFonts w:eastAsia="楷体_GB2312" w:cs="宋体"/>
                <w:color w:val="333333"/>
                <w:sz w:val="28"/>
                <w:bdr w:val="none" w:sz="0" w:space="0" w:color="auto" w:frame="1"/>
              </w:rPr>
              <w:t xml:space="preserve">Australian Prime property Fund Commercial </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 APPFC”</w:t>
            </w:r>
            <w:r w:rsidRPr="00232C8B">
              <w:rPr>
                <w:rFonts w:eastAsia="楷体_GB2312" w:cs="宋体"/>
                <w:color w:val="333333"/>
                <w:sz w:val="28"/>
                <w:bdr w:val="none" w:sz="0" w:space="0" w:color="auto" w:frame="1"/>
              </w:rPr>
              <w:t>）共同控制。澳斯柯弥拿通第二私人有限公司（</w:t>
            </w:r>
            <w:r w:rsidRPr="00232C8B">
              <w:rPr>
                <w:rFonts w:eastAsia="楷体_GB2312" w:cs="宋体"/>
                <w:color w:val="333333"/>
                <w:sz w:val="28"/>
                <w:bdr w:val="none" w:sz="0" w:space="0" w:color="auto" w:frame="1"/>
              </w:rPr>
              <w:t>Ausco Minato 2 Pty Ltd, “</w:t>
            </w:r>
            <w:r w:rsidRPr="00232C8B">
              <w:rPr>
                <w:rFonts w:eastAsia="楷体_GB2312" w:cs="宋体"/>
                <w:color w:val="333333"/>
                <w:sz w:val="28"/>
                <w:bdr w:val="none" w:sz="0" w:space="0" w:color="auto" w:frame="1"/>
              </w:rPr>
              <w:t>澳斯柯</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）和荷兰汇盈澳大利亚投资控股信托（</w:t>
            </w:r>
            <w:r w:rsidRPr="00232C8B">
              <w:rPr>
                <w:rFonts w:eastAsia="楷体_GB2312" w:cs="宋体"/>
                <w:color w:val="333333"/>
                <w:sz w:val="28"/>
                <w:bdr w:val="none" w:sz="0" w:space="0" w:color="auto" w:frame="1"/>
              </w:rPr>
              <w:t xml:space="preserve">APG Australian Investments Holding Trust </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荷兰汇盈信托</w:t>
            </w:r>
            <w:r w:rsidRPr="00232C8B">
              <w:rPr>
                <w:rFonts w:eastAsia="楷体_GB2312" w:cs="宋体"/>
                <w:color w:val="333333"/>
                <w:sz w:val="28"/>
                <w:bdr w:val="none" w:sz="0" w:space="0" w:color="auto" w:frame="1"/>
              </w:rPr>
              <w:t>”</w:t>
            </w:r>
            <w:r w:rsidRPr="00232C8B">
              <w:rPr>
                <w:rFonts w:eastAsia="楷体_GB2312" w:cs="宋体"/>
                <w:color w:val="333333"/>
                <w:sz w:val="28"/>
                <w:bdr w:val="none" w:sz="0" w:space="0" w:color="auto" w:frame="1"/>
              </w:rPr>
              <w:t>）也持有</w:t>
            </w:r>
            <w:r w:rsidRPr="00232C8B">
              <w:rPr>
                <w:rFonts w:eastAsia="楷体_GB2312" w:cs="宋体"/>
                <w:color w:val="333333"/>
                <w:sz w:val="28"/>
                <w:bdr w:val="none" w:sz="0" w:space="0" w:color="auto" w:frame="1"/>
              </w:rPr>
              <w:t>LLITST</w:t>
            </w:r>
            <w:r w:rsidRPr="00232C8B">
              <w:rPr>
                <w:rFonts w:eastAsia="楷体_GB2312" w:cs="宋体"/>
                <w:color w:val="333333"/>
                <w:sz w:val="28"/>
                <w:bdr w:val="none" w:sz="0" w:space="0" w:color="auto" w:frame="1"/>
              </w:rPr>
              <w:t>的信托份额，但本次交易前，澳斯柯和荷兰汇盈信托对</w:t>
            </w:r>
            <w:r w:rsidRPr="00232C8B">
              <w:rPr>
                <w:rFonts w:eastAsia="楷体_GB2312" w:cs="宋体"/>
                <w:color w:val="333333"/>
                <w:sz w:val="28"/>
                <w:bdr w:val="none" w:sz="0" w:space="0" w:color="auto" w:frame="1"/>
              </w:rPr>
              <w:t>LLITST</w:t>
            </w:r>
            <w:r w:rsidRPr="00232C8B">
              <w:rPr>
                <w:rFonts w:eastAsia="楷体_GB2312" w:cs="宋体"/>
                <w:color w:val="333333"/>
                <w:sz w:val="28"/>
                <w:bdr w:val="none" w:sz="0" w:space="0" w:color="auto" w:frame="1"/>
              </w:rPr>
              <w:t>不具有控制权。</w:t>
            </w:r>
          </w:p>
          <w:p w:rsidR="00600EC5" w:rsidRPr="00232C8B" w:rsidRDefault="00600EC5" w:rsidP="003E708C">
            <w:pPr>
              <w:snapToGrid w:val="0"/>
              <w:spacing w:after="240"/>
              <w:rPr>
                <w:rFonts w:eastAsia="楷体_GB2312" w:cs="宋体"/>
                <w:color w:val="333333"/>
                <w:sz w:val="28"/>
                <w:bdr w:val="none" w:sz="0" w:space="0" w:color="auto" w:frame="1"/>
                <w:lang w:eastAsia="zh-CN"/>
              </w:rPr>
            </w:pPr>
            <w:r w:rsidRPr="00232C8B">
              <w:rPr>
                <w:rFonts w:eastAsia="楷体_GB2312" w:cs="宋体" w:hint="eastAsia"/>
                <w:color w:val="333333"/>
                <w:sz w:val="28"/>
                <w:bdr w:val="none" w:sz="0" w:space="0" w:color="auto" w:frame="1"/>
                <w:lang w:eastAsia="zh-CN"/>
              </w:rPr>
              <w:t>通过本次交易，澳斯柯计划将通过认购期权并最终获得</w:t>
            </w:r>
            <w:r w:rsidRPr="00232C8B">
              <w:rPr>
                <w:rFonts w:eastAsia="楷体_GB2312" w:cs="宋体"/>
                <w:color w:val="333333"/>
                <w:sz w:val="28"/>
                <w:bdr w:val="none" w:sz="0" w:space="0" w:color="auto" w:frame="1"/>
                <w:lang w:eastAsia="zh-CN"/>
              </w:rPr>
              <w:t>LLITST</w:t>
            </w:r>
            <w:r w:rsidRPr="00232C8B">
              <w:rPr>
                <w:rFonts w:eastAsia="楷体_GB2312" w:cs="宋体"/>
                <w:color w:val="333333"/>
                <w:sz w:val="28"/>
                <w:bdr w:val="none" w:sz="0" w:space="0" w:color="auto" w:frame="1"/>
                <w:lang w:eastAsia="zh-CN"/>
              </w:rPr>
              <w:t>一定数量的信托</w:t>
            </w:r>
            <w:r>
              <w:rPr>
                <w:rFonts w:eastAsia="楷体_GB2312" w:cs="宋体" w:hint="eastAsia"/>
                <w:color w:val="333333"/>
                <w:sz w:val="28"/>
                <w:bdr w:val="none" w:sz="0" w:space="0" w:color="auto" w:frame="1"/>
                <w:lang w:eastAsia="zh-CN"/>
              </w:rPr>
              <w:t>份额</w:t>
            </w:r>
            <w:r w:rsidRPr="00232C8B">
              <w:rPr>
                <w:rFonts w:eastAsia="楷体_GB2312" w:cs="宋体"/>
                <w:color w:val="333333"/>
                <w:sz w:val="28"/>
                <w:bdr w:val="none" w:sz="0" w:space="0" w:color="auto" w:frame="1"/>
                <w:lang w:eastAsia="zh-CN"/>
              </w:rPr>
              <w:t>来获得对目标公司</w:t>
            </w:r>
            <w:r w:rsidRPr="00232C8B">
              <w:rPr>
                <w:rFonts w:eastAsia="楷体_GB2312" w:cs="宋体"/>
                <w:color w:val="333333"/>
                <w:sz w:val="28"/>
                <w:bdr w:val="none" w:sz="0" w:space="0" w:color="auto" w:frame="1"/>
                <w:lang w:eastAsia="zh-CN"/>
              </w:rPr>
              <w:t>LLITST</w:t>
            </w:r>
            <w:r w:rsidRPr="00232C8B">
              <w:rPr>
                <w:rFonts w:eastAsia="楷体_GB2312" w:cs="宋体"/>
                <w:color w:val="333333"/>
                <w:sz w:val="28"/>
                <w:bdr w:val="none" w:sz="0" w:space="0" w:color="auto" w:frame="1"/>
                <w:lang w:eastAsia="zh-CN"/>
              </w:rPr>
              <w:t>的控制权；荷兰汇盈信托将通过修改</w:t>
            </w:r>
            <w:r w:rsidRPr="00232C8B">
              <w:rPr>
                <w:rFonts w:eastAsia="楷体_GB2312" w:cs="宋体"/>
                <w:color w:val="333333"/>
                <w:sz w:val="28"/>
                <w:bdr w:val="none" w:sz="0" w:space="0" w:color="auto" w:frame="1"/>
                <w:lang w:eastAsia="zh-CN"/>
              </w:rPr>
              <w:t>LLITST</w:t>
            </w:r>
            <w:r w:rsidRPr="00232C8B">
              <w:rPr>
                <w:rFonts w:eastAsia="楷体_GB2312" w:cs="宋体"/>
                <w:color w:val="333333"/>
                <w:sz w:val="28"/>
                <w:bdr w:val="none" w:sz="0" w:space="0" w:color="auto" w:frame="1"/>
                <w:lang w:eastAsia="zh-CN"/>
              </w:rPr>
              <w:t>章程的方式取得对</w:t>
            </w:r>
            <w:r w:rsidRPr="00232C8B">
              <w:rPr>
                <w:rFonts w:eastAsia="楷体_GB2312" w:cs="宋体"/>
                <w:color w:val="333333"/>
                <w:sz w:val="28"/>
                <w:bdr w:val="none" w:sz="0" w:space="0" w:color="auto" w:frame="1"/>
                <w:lang w:eastAsia="zh-CN"/>
              </w:rPr>
              <w:t>LLITST</w:t>
            </w:r>
            <w:r w:rsidRPr="00232C8B">
              <w:rPr>
                <w:rFonts w:eastAsia="楷体_GB2312" w:cs="宋体"/>
                <w:color w:val="333333"/>
                <w:sz w:val="28"/>
                <w:bdr w:val="none" w:sz="0" w:space="0" w:color="auto" w:frame="1"/>
                <w:lang w:eastAsia="zh-CN"/>
              </w:rPr>
              <w:t>的控制权。</w:t>
            </w:r>
          </w:p>
          <w:p w:rsidR="00600EC5" w:rsidRPr="00B75FF4" w:rsidRDefault="00600EC5" w:rsidP="003E708C">
            <w:pPr>
              <w:snapToGrid w:val="0"/>
              <w:spacing w:after="240"/>
              <w:rPr>
                <w:rFonts w:eastAsia="楷体_GB2312" w:cs="宋体"/>
                <w:color w:val="333333"/>
                <w:sz w:val="28"/>
                <w:bdr w:val="none" w:sz="0" w:space="0" w:color="auto" w:frame="1"/>
              </w:rPr>
            </w:pPr>
            <w:r w:rsidRPr="00232C8B">
              <w:rPr>
                <w:rFonts w:eastAsia="楷体_GB2312" w:cs="宋体" w:hint="eastAsia"/>
                <w:color w:val="333333"/>
                <w:sz w:val="28"/>
                <w:bdr w:val="none" w:sz="0" w:space="0" w:color="auto" w:frame="1"/>
              </w:rPr>
              <w:t>本次交易后，澳斯柯、荷兰汇盈信托、</w:t>
            </w:r>
            <w:r w:rsidRPr="00232C8B">
              <w:rPr>
                <w:rFonts w:eastAsia="楷体_GB2312" w:cs="宋体"/>
                <w:color w:val="333333"/>
                <w:sz w:val="28"/>
                <w:bdr w:val="none" w:sz="0" w:space="0" w:color="auto" w:frame="1"/>
              </w:rPr>
              <w:t xml:space="preserve">CPPIB </w:t>
            </w:r>
            <w:r w:rsidRPr="00232C8B">
              <w:rPr>
                <w:rFonts w:eastAsia="楷体_GB2312" w:cs="宋体"/>
                <w:color w:val="333333"/>
                <w:sz w:val="28"/>
                <w:bdr w:val="none" w:sz="0" w:space="0" w:color="auto" w:frame="1"/>
              </w:rPr>
              <w:t>信托和</w:t>
            </w:r>
            <w:r w:rsidRPr="00232C8B">
              <w:rPr>
                <w:rFonts w:eastAsia="楷体_GB2312" w:cs="宋体"/>
                <w:color w:val="333333"/>
                <w:sz w:val="28"/>
                <w:bdr w:val="none" w:sz="0" w:space="0" w:color="auto" w:frame="1"/>
              </w:rPr>
              <w:t>APPFC</w:t>
            </w:r>
            <w:r w:rsidRPr="00232C8B">
              <w:rPr>
                <w:rFonts w:eastAsia="楷体_GB2312" w:cs="宋体"/>
                <w:color w:val="333333"/>
                <w:sz w:val="28"/>
                <w:bdr w:val="none" w:sz="0" w:space="0" w:color="auto" w:frame="1"/>
              </w:rPr>
              <w:t>将共同控制</w:t>
            </w:r>
            <w:r w:rsidRPr="00232C8B">
              <w:rPr>
                <w:rFonts w:eastAsia="楷体_GB2312" w:cs="宋体"/>
                <w:color w:val="333333"/>
                <w:sz w:val="28"/>
                <w:bdr w:val="none" w:sz="0" w:space="0" w:color="auto" w:frame="1"/>
              </w:rPr>
              <w:t>LLITST</w:t>
            </w:r>
            <w:r>
              <w:rPr>
                <w:rFonts w:eastAsia="楷体_GB2312" w:cs="宋体" w:hint="eastAsia"/>
                <w:color w:val="333333"/>
                <w:sz w:val="28"/>
                <w:bdr w:val="none" w:sz="0" w:space="0" w:color="auto" w:frame="1"/>
              </w:rPr>
              <w:t>。</w:t>
            </w:r>
          </w:p>
        </w:tc>
      </w:tr>
      <w:tr w:rsidR="00600EC5" w:rsidRPr="0088530B" w:rsidTr="003E708C">
        <w:trPr>
          <w:trHeight w:val="1562"/>
        </w:trPr>
        <w:tc>
          <w:tcPr>
            <w:tcW w:w="1809" w:type="dxa"/>
            <w:vMerge w:val="restart"/>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参与集中的经营者简介</w:t>
            </w:r>
          </w:p>
        </w:tc>
        <w:tc>
          <w:tcPr>
            <w:tcW w:w="1796" w:type="dxa"/>
            <w:vAlign w:val="center"/>
          </w:tcPr>
          <w:p w:rsidR="00600EC5" w:rsidRPr="00B75FF4" w:rsidRDefault="00600EC5" w:rsidP="003E708C">
            <w:pPr>
              <w:rPr>
                <w:rFonts w:eastAsia="楷体_GB2312" w:cs="宋体"/>
                <w:color w:val="333333"/>
                <w:sz w:val="28"/>
                <w:bdr w:val="none" w:sz="0" w:space="0" w:color="auto" w:frame="1"/>
              </w:rPr>
            </w:pPr>
            <w:r w:rsidRPr="00B75FF4">
              <w:rPr>
                <w:rFonts w:eastAsia="楷体_GB2312" w:cs="宋体" w:hint="eastAsia"/>
                <w:color w:val="333333"/>
                <w:sz w:val="28"/>
                <w:bdr w:val="none" w:sz="0" w:space="0" w:color="auto" w:frame="1"/>
              </w:rPr>
              <w:t>1</w:t>
            </w:r>
            <w:r w:rsidRPr="00B75FF4">
              <w:rPr>
                <w:rFonts w:eastAsia="楷体_GB2312" w:cs="宋体" w:hint="eastAsia"/>
                <w:color w:val="333333"/>
                <w:sz w:val="28"/>
                <w:bdr w:val="none" w:sz="0" w:space="0" w:color="auto" w:frame="1"/>
              </w:rPr>
              <w:t>、</w:t>
            </w:r>
            <w:r w:rsidRPr="00D664BE">
              <w:rPr>
                <w:rFonts w:eastAsia="楷体_GB2312" w:cs="宋体" w:hint="eastAsia"/>
                <w:color w:val="333333"/>
                <w:sz w:val="28"/>
                <w:bdr w:val="none" w:sz="0" w:space="0" w:color="auto" w:frame="1"/>
              </w:rPr>
              <w:t>澳斯柯</w:t>
            </w:r>
          </w:p>
        </w:tc>
        <w:tc>
          <w:tcPr>
            <w:tcW w:w="5153" w:type="dxa"/>
            <w:vAlign w:val="center"/>
          </w:tcPr>
          <w:p w:rsidR="00600EC5" w:rsidRPr="00B75FF4" w:rsidRDefault="00600EC5" w:rsidP="003E708C">
            <w:pPr>
              <w:snapToGrid w:val="0"/>
              <w:rPr>
                <w:rFonts w:eastAsia="楷体_GB2312" w:cs="宋体"/>
                <w:color w:val="333333"/>
                <w:sz w:val="28"/>
                <w:bdr w:val="none" w:sz="0" w:space="0" w:color="auto" w:frame="1"/>
                <w:lang w:eastAsia="zh-CN"/>
              </w:rPr>
            </w:pPr>
            <w:r w:rsidRPr="00326653">
              <w:rPr>
                <w:rFonts w:eastAsia="楷体_GB2312" w:cs="宋体" w:hint="eastAsia"/>
                <w:color w:val="333333"/>
                <w:sz w:val="28"/>
                <w:bdr w:val="none" w:sz="0" w:space="0" w:color="auto" w:frame="1"/>
                <w:lang w:eastAsia="zh-CN"/>
              </w:rPr>
              <w:t>澳斯柯是一家控股公司，其主要业务是投资澳大利亚的写字楼。</w:t>
            </w:r>
          </w:p>
        </w:tc>
      </w:tr>
      <w:tr w:rsidR="00600EC5" w:rsidRPr="0088530B" w:rsidTr="003E708C">
        <w:trPr>
          <w:trHeight w:val="125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1796" w:type="dxa"/>
            <w:vAlign w:val="center"/>
          </w:tcPr>
          <w:p w:rsidR="00600EC5" w:rsidRPr="00B75FF4" w:rsidRDefault="00600EC5" w:rsidP="003E708C">
            <w:pPr>
              <w:rPr>
                <w:rFonts w:eastAsia="楷体_GB2312" w:cs="宋体"/>
                <w:color w:val="333333"/>
                <w:sz w:val="28"/>
                <w:bdr w:val="none" w:sz="0" w:space="0" w:color="auto" w:frame="1"/>
              </w:rPr>
            </w:pPr>
            <w:r w:rsidRPr="00B75FF4">
              <w:rPr>
                <w:rFonts w:eastAsia="楷体_GB2312" w:cs="宋体" w:hint="eastAsia"/>
                <w:color w:val="333333"/>
                <w:sz w:val="28"/>
                <w:bdr w:val="none" w:sz="0" w:space="0" w:color="auto" w:frame="1"/>
              </w:rPr>
              <w:t>2</w:t>
            </w:r>
            <w:r w:rsidRPr="00B75FF4">
              <w:rPr>
                <w:rFonts w:eastAsia="楷体_GB2312" w:cs="宋体" w:hint="eastAsia"/>
                <w:color w:val="333333"/>
                <w:sz w:val="28"/>
                <w:bdr w:val="none" w:sz="0" w:space="0" w:color="auto" w:frame="1"/>
              </w:rPr>
              <w:t>、</w:t>
            </w:r>
            <w:r w:rsidRPr="00D664BE">
              <w:rPr>
                <w:rFonts w:eastAsia="楷体_GB2312" w:cs="宋体" w:hint="eastAsia"/>
                <w:color w:val="333333"/>
                <w:sz w:val="28"/>
                <w:bdr w:val="none" w:sz="0" w:space="0" w:color="auto" w:frame="1"/>
              </w:rPr>
              <w:t>荷兰汇盈信托</w:t>
            </w:r>
          </w:p>
        </w:tc>
        <w:tc>
          <w:tcPr>
            <w:tcW w:w="5153" w:type="dxa"/>
            <w:vAlign w:val="center"/>
          </w:tcPr>
          <w:p w:rsidR="00600EC5" w:rsidRPr="00B75FF4" w:rsidRDefault="00600EC5" w:rsidP="003E708C">
            <w:pPr>
              <w:rPr>
                <w:rFonts w:eastAsia="楷体_GB2312" w:cs="宋体"/>
                <w:color w:val="333333"/>
                <w:sz w:val="28"/>
                <w:bdr w:val="none" w:sz="0" w:space="0" w:color="auto" w:frame="1"/>
                <w:lang w:eastAsia="zh-CN"/>
              </w:rPr>
            </w:pPr>
            <w:r w:rsidRPr="00F042E4">
              <w:rPr>
                <w:rFonts w:eastAsia="楷体_GB2312" w:cs="宋体" w:hint="eastAsia"/>
                <w:color w:val="333333"/>
                <w:sz w:val="28"/>
                <w:bdr w:val="none" w:sz="0" w:space="0" w:color="auto" w:frame="1"/>
                <w:lang w:eastAsia="zh-CN"/>
              </w:rPr>
              <w:t>荷兰汇盈信托代表荷兰汇盈直接或间接持有澳大利亚土地信托利益。</w:t>
            </w:r>
          </w:p>
        </w:tc>
      </w:tr>
      <w:tr w:rsidR="00600EC5" w:rsidRPr="0088530B" w:rsidTr="003E708C">
        <w:trPr>
          <w:trHeight w:val="125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1796" w:type="dxa"/>
            <w:vAlign w:val="center"/>
          </w:tcPr>
          <w:p w:rsidR="00600EC5" w:rsidRPr="00B75FF4" w:rsidRDefault="00600EC5" w:rsidP="003E708C">
            <w:pPr>
              <w:rPr>
                <w:rFonts w:eastAsia="楷体_GB2312" w:cs="宋体"/>
                <w:color w:val="333333"/>
                <w:sz w:val="28"/>
                <w:bdr w:val="none" w:sz="0" w:space="0" w:color="auto" w:frame="1"/>
              </w:rPr>
            </w:pPr>
            <w:r>
              <w:rPr>
                <w:rFonts w:eastAsia="楷体_GB2312" w:cs="宋体" w:hint="eastAsia"/>
                <w:color w:val="333333"/>
                <w:sz w:val="28"/>
                <w:bdr w:val="none" w:sz="0" w:space="0" w:color="auto" w:frame="1"/>
              </w:rPr>
              <w:t>3</w:t>
            </w:r>
            <w:r>
              <w:rPr>
                <w:rFonts w:eastAsia="楷体_GB2312" w:cs="宋体" w:hint="eastAsia"/>
                <w:color w:val="333333"/>
                <w:sz w:val="28"/>
                <w:bdr w:val="none" w:sz="0" w:space="0" w:color="auto" w:frame="1"/>
              </w:rPr>
              <w:t>、</w:t>
            </w:r>
            <w:r w:rsidRPr="00D664BE">
              <w:rPr>
                <w:rFonts w:eastAsia="楷体_GB2312" w:cs="宋体"/>
                <w:color w:val="333333"/>
                <w:sz w:val="28"/>
                <w:bdr w:val="none" w:sz="0" w:space="0" w:color="auto" w:frame="1"/>
              </w:rPr>
              <w:t xml:space="preserve">CPPIB </w:t>
            </w:r>
            <w:r w:rsidRPr="00D664BE">
              <w:rPr>
                <w:rFonts w:eastAsia="楷体_GB2312" w:cs="宋体"/>
                <w:color w:val="333333"/>
                <w:sz w:val="28"/>
                <w:bdr w:val="none" w:sz="0" w:space="0" w:color="auto" w:frame="1"/>
              </w:rPr>
              <w:t>信托</w:t>
            </w:r>
          </w:p>
        </w:tc>
        <w:tc>
          <w:tcPr>
            <w:tcW w:w="5153" w:type="dxa"/>
            <w:vAlign w:val="center"/>
          </w:tcPr>
          <w:p w:rsidR="00600EC5" w:rsidRPr="00D664BE" w:rsidRDefault="00600EC5" w:rsidP="003E708C">
            <w:pPr>
              <w:rPr>
                <w:rFonts w:eastAsia="楷体_GB2312" w:cs="宋体"/>
                <w:color w:val="333333"/>
                <w:sz w:val="28"/>
                <w:bdr w:val="none" w:sz="0" w:space="0" w:color="auto" w:frame="1"/>
                <w:lang w:eastAsia="zh-CN"/>
              </w:rPr>
            </w:pPr>
            <w:r w:rsidRPr="00F042E4">
              <w:rPr>
                <w:rFonts w:eastAsia="楷体_GB2312" w:cs="宋体"/>
                <w:color w:val="333333"/>
                <w:sz w:val="28"/>
                <w:bdr w:val="none" w:sz="0" w:space="0" w:color="auto" w:frame="1"/>
                <w:lang w:eastAsia="zh-CN"/>
              </w:rPr>
              <w:t>CPPIB</w:t>
            </w:r>
            <w:r w:rsidRPr="00F042E4">
              <w:rPr>
                <w:rFonts w:eastAsia="楷体_GB2312" w:cs="宋体"/>
                <w:color w:val="333333"/>
                <w:sz w:val="28"/>
                <w:bdr w:val="none" w:sz="0" w:space="0" w:color="auto" w:frame="1"/>
                <w:lang w:eastAsia="zh-CN"/>
              </w:rPr>
              <w:t>信托是由加拿大养老金计划投资委员会设立的控股公司，主要业务是投资澳大利亚的写字楼。</w:t>
            </w:r>
          </w:p>
        </w:tc>
      </w:tr>
      <w:tr w:rsidR="00600EC5" w:rsidRPr="0088530B" w:rsidTr="003E708C">
        <w:trPr>
          <w:trHeight w:val="125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1796" w:type="dxa"/>
            <w:vAlign w:val="center"/>
          </w:tcPr>
          <w:p w:rsidR="00600EC5" w:rsidRDefault="00600EC5" w:rsidP="003E708C">
            <w:pPr>
              <w:rPr>
                <w:rFonts w:eastAsia="楷体_GB2312" w:cs="宋体"/>
                <w:color w:val="333333"/>
                <w:sz w:val="28"/>
                <w:bdr w:val="none" w:sz="0" w:space="0" w:color="auto" w:frame="1"/>
              </w:rPr>
            </w:pPr>
            <w:r>
              <w:rPr>
                <w:rFonts w:eastAsia="楷体_GB2312" w:cs="宋体" w:hint="eastAsia"/>
                <w:color w:val="333333"/>
                <w:sz w:val="28"/>
                <w:bdr w:val="none" w:sz="0" w:space="0" w:color="auto" w:frame="1"/>
              </w:rPr>
              <w:t>4</w:t>
            </w:r>
            <w:r>
              <w:rPr>
                <w:rFonts w:eastAsia="楷体_GB2312" w:cs="宋体" w:hint="eastAsia"/>
                <w:color w:val="333333"/>
                <w:sz w:val="28"/>
                <w:bdr w:val="none" w:sz="0" w:space="0" w:color="auto" w:frame="1"/>
              </w:rPr>
              <w:t>、</w:t>
            </w:r>
            <w:r>
              <w:rPr>
                <w:rFonts w:eastAsia="楷体_GB2312" w:cs="宋体"/>
                <w:color w:val="333333"/>
                <w:sz w:val="28"/>
                <w:bdr w:val="none" w:sz="0" w:space="0" w:color="auto" w:frame="1"/>
              </w:rPr>
              <w:t>APPFC</w:t>
            </w:r>
          </w:p>
        </w:tc>
        <w:tc>
          <w:tcPr>
            <w:tcW w:w="5153" w:type="dxa"/>
            <w:vAlign w:val="center"/>
          </w:tcPr>
          <w:p w:rsidR="00600EC5" w:rsidRDefault="00600EC5" w:rsidP="003E708C">
            <w:pPr>
              <w:rPr>
                <w:rFonts w:eastAsia="楷体_GB2312" w:cs="宋体"/>
                <w:color w:val="333333"/>
                <w:sz w:val="28"/>
                <w:bdr w:val="none" w:sz="0" w:space="0" w:color="auto" w:frame="1"/>
                <w:lang w:eastAsia="zh-CN"/>
              </w:rPr>
            </w:pPr>
            <w:r w:rsidRPr="00C626CD">
              <w:rPr>
                <w:rFonts w:eastAsia="楷体_GB2312" w:cs="宋体"/>
                <w:color w:val="333333"/>
                <w:sz w:val="28"/>
                <w:bdr w:val="none" w:sz="0" w:space="0" w:color="auto" w:frame="1"/>
                <w:lang w:eastAsia="zh-CN"/>
              </w:rPr>
              <w:t>APPFC</w:t>
            </w:r>
            <w:r w:rsidRPr="00C626CD">
              <w:rPr>
                <w:rFonts w:eastAsia="楷体_GB2312" w:cs="宋体"/>
                <w:color w:val="333333"/>
                <w:sz w:val="28"/>
                <w:bdr w:val="none" w:sz="0" w:space="0" w:color="auto" w:frame="1"/>
                <w:lang w:eastAsia="zh-CN"/>
              </w:rPr>
              <w:t>是一家于</w:t>
            </w:r>
            <w:r w:rsidRPr="00C626CD">
              <w:rPr>
                <w:rFonts w:eastAsia="楷体_GB2312" w:cs="宋体"/>
                <w:color w:val="333333"/>
                <w:sz w:val="28"/>
                <w:bdr w:val="none" w:sz="0" w:space="0" w:color="auto" w:frame="1"/>
                <w:lang w:eastAsia="zh-CN"/>
              </w:rPr>
              <w:t>1994</w:t>
            </w:r>
            <w:r w:rsidRPr="00C626CD">
              <w:rPr>
                <w:rFonts w:eastAsia="楷体_GB2312" w:cs="宋体"/>
                <w:color w:val="333333"/>
                <w:sz w:val="28"/>
                <w:bdr w:val="none" w:sz="0" w:space="0" w:color="auto" w:frame="1"/>
                <w:lang w:eastAsia="zh-CN"/>
              </w:rPr>
              <w:t>年设立的非上市房地产信托。该基金通过长期的持有、开发和重新定位优质、环境可持续、主流核心的澳大利亚商业房地产资产，为投资者带来回报。</w:t>
            </w:r>
          </w:p>
        </w:tc>
      </w:tr>
      <w:tr w:rsidR="00600EC5" w:rsidRPr="009E06A4" w:rsidTr="003E708C">
        <w:trPr>
          <w:trHeight w:val="125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1796" w:type="dxa"/>
            <w:vAlign w:val="center"/>
          </w:tcPr>
          <w:p w:rsidR="00600EC5" w:rsidRDefault="00600EC5" w:rsidP="003E708C">
            <w:pPr>
              <w:rPr>
                <w:rFonts w:eastAsia="楷体_GB2312" w:cs="宋体"/>
                <w:color w:val="333333"/>
                <w:sz w:val="28"/>
                <w:bdr w:val="none" w:sz="0" w:space="0" w:color="auto" w:frame="1"/>
              </w:rPr>
            </w:pPr>
            <w:r>
              <w:rPr>
                <w:rFonts w:eastAsia="楷体_GB2312" w:cs="宋体" w:hint="eastAsia"/>
                <w:color w:val="333333"/>
                <w:sz w:val="28"/>
                <w:bdr w:val="none" w:sz="0" w:space="0" w:color="auto" w:frame="1"/>
              </w:rPr>
              <w:t>5</w:t>
            </w:r>
            <w:r>
              <w:rPr>
                <w:rFonts w:eastAsia="楷体_GB2312" w:cs="宋体" w:hint="eastAsia"/>
                <w:color w:val="333333"/>
                <w:sz w:val="28"/>
                <w:bdr w:val="none" w:sz="0" w:space="0" w:color="auto" w:frame="1"/>
              </w:rPr>
              <w:t>、</w:t>
            </w:r>
            <w:r>
              <w:rPr>
                <w:rFonts w:eastAsia="楷体_GB2312" w:cs="宋体" w:hint="eastAsia"/>
                <w:color w:val="333333"/>
                <w:sz w:val="28"/>
                <w:bdr w:val="none" w:sz="0" w:space="0" w:color="auto" w:frame="1"/>
              </w:rPr>
              <w:t>LLITST</w:t>
            </w:r>
          </w:p>
        </w:tc>
        <w:tc>
          <w:tcPr>
            <w:tcW w:w="5153" w:type="dxa"/>
            <w:vAlign w:val="center"/>
          </w:tcPr>
          <w:p w:rsidR="00600EC5" w:rsidRPr="00D664BE" w:rsidRDefault="00600EC5" w:rsidP="003E708C">
            <w:pPr>
              <w:rPr>
                <w:rFonts w:eastAsia="楷体_GB2312" w:cs="宋体"/>
                <w:color w:val="333333"/>
                <w:sz w:val="28"/>
                <w:bdr w:val="none" w:sz="0" w:space="0" w:color="auto" w:frame="1"/>
                <w:lang w:eastAsia="zh-CN"/>
              </w:rPr>
            </w:pPr>
            <w:r w:rsidRPr="00F27AE9">
              <w:rPr>
                <w:rFonts w:eastAsia="楷体_GB2312" w:cs="宋体" w:hint="eastAsia"/>
                <w:color w:val="333333"/>
                <w:sz w:val="28"/>
                <w:bdr w:val="none" w:sz="0" w:space="0" w:color="auto" w:frame="1"/>
                <w:lang w:eastAsia="zh-CN"/>
              </w:rPr>
              <w:t>当前，</w:t>
            </w:r>
            <w:r w:rsidRPr="00F27AE9">
              <w:rPr>
                <w:rFonts w:eastAsia="楷体_GB2312" w:cs="宋体"/>
                <w:color w:val="333333"/>
                <w:sz w:val="28"/>
                <w:bdr w:val="none" w:sz="0" w:space="0" w:color="auto" w:frame="1"/>
                <w:lang w:eastAsia="zh-CN"/>
              </w:rPr>
              <w:t>LLITST</w:t>
            </w:r>
            <w:r w:rsidRPr="00F27AE9">
              <w:rPr>
                <w:rFonts w:eastAsia="楷体_GB2312" w:cs="宋体"/>
                <w:color w:val="333333"/>
                <w:sz w:val="28"/>
                <w:bdr w:val="none" w:sz="0" w:space="0" w:color="auto" w:frame="1"/>
                <w:lang w:eastAsia="zh-CN"/>
              </w:rPr>
              <w:t>致力于在澳大利亚悉尼持有写字楼及附近的停车场。</w:t>
            </w:r>
          </w:p>
        </w:tc>
      </w:tr>
      <w:tr w:rsidR="00600EC5" w:rsidRPr="0088530B" w:rsidTr="003E708C">
        <w:trPr>
          <w:trHeight w:val="279"/>
        </w:trPr>
        <w:tc>
          <w:tcPr>
            <w:tcW w:w="1809" w:type="dxa"/>
            <w:vMerge w:val="restart"/>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简易案件理由（可以单选，也可以多选）</w:t>
            </w: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w:t>
            </w:r>
            <w:r w:rsidRPr="00B75FF4">
              <w:rPr>
                <w:rFonts w:eastAsia="楷体_GB2312" w:cs="宋体" w:hint="eastAsia"/>
                <w:color w:val="333333"/>
                <w:sz w:val="28"/>
                <w:bdr w:val="none" w:sz="0" w:space="0" w:color="auto" w:frame="1"/>
                <w:lang w:eastAsia="zh-CN"/>
              </w:rPr>
              <w:t>1</w:t>
            </w:r>
            <w:r w:rsidRPr="00B75FF4">
              <w:rPr>
                <w:rFonts w:eastAsia="楷体_GB2312" w:cs="宋体" w:hint="eastAsia"/>
                <w:color w:val="333333"/>
                <w:sz w:val="28"/>
                <w:bdr w:val="none" w:sz="0" w:space="0" w:color="auto" w:frame="1"/>
                <w:lang w:eastAsia="zh-CN"/>
              </w:rPr>
              <w:t>、在同一相关市场，所有参与集中的经营者所占市场份额之和小于</w:t>
            </w:r>
            <w:r w:rsidRPr="00B75FF4">
              <w:rPr>
                <w:rFonts w:eastAsia="楷体_GB2312" w:cs="宋体"/>
                <w:color w:val="333333"/>
                <w:sz w:val="28"/>
                <w:bdr w:val="none" w:sz="0" w:space="0" w:color="auto" w:frame="1"/>
                <w:lang w:eastAsia="zh-CN"/>
              </w:rPr>
              <w:t>15%</w:t>
            </w:r>
            <w:r w:rsidRPr="00B75FF4">
              <w:rPr>
                <w:rFonts w:eastAsia="楷体_GB2312" w:cs="宋体" w:hint="eastAsia"/>
                <w:color w:val="333333"/>
                <w:sz w:val="28"/>
                <w:bdr w:val="none" w:sz="0" w:space="0" w:color="auto" w:frame="1"/>
                <w:lang w:eastAsia="zh-CN"/>
              </w:rPr>
              <w:t>。</w:t>
            </w:r>
          </w:p>
        </w:tc>
      </w:tr>
      <w:tr w:rsidR="00600EC5" w:rsidRPr="0088530B" w:rsidTr="003E708C">
        <w:trPr>
          <w:trHeight w:val="330"/>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w:t>
            </w:r>
            <w:r w:rsidRPr="00B75FF4">
              <w:rPr>
                <w:rFonts w:eastAsia="楷体_GB2312" w:cs="宋体" w:hint="eastAsia"/>
                <w:color w:val="333333"/>
                <w:sz w:val="28"/>
                <w:bdr w:val="none" w:sz="0" w:space="0" w:color="auto" w:frame="1"/>
                <w:lang w:eastAsia="zh-CN"/>
              </w:rPr>
              <w:t>2</w:t>
            </w:r>
            <w:r w:rsidRPr="00B75FF4">
              <w:rPr>
                <w:rFonts w:eastAsia="楷体_GB2312" w:cs="宋体" w:hint="eastAsia"/>
                <w:color w:val="333333"/>
                <w:sz w:val="28"/>
                <w:bdr w:val="none" w:sz="0" w:space="0" w:color="auto" w:frame="1"/>
                <w:lang w:eastAsia="zh-CN"/>
              </w:rPr>
              <w:t>、存在上下游关系的参与集中的经营者，在上下游市场所占的市场份额均小于</w:t>
            </w:r>
            <w:r w:rsidRPr="00B75FF4">
              <w:rPr>
                <w:rFonts w:eastAsia="楷体_GB2312" w:cs="宋体" w:hint="eastAsia"/>
                <w:color w:val="333333"/>
                <w:sz w:val="28"/>
                <w:bdr w:val="none" w:sz="0" w:space="0" w:color="auto" w:frame="1"/>
                <w:lang w:eastAsia="zh-CN"/>
              </w:rPr>
              <w:t>25%</w:t>
            </w:r>
            <w:r w:rsidRPr="00B75FF4">
              <w:rPr>
                <w:rFonts w:eastAsia="楷体_GB2312" w:cs="宋体" w:hint="eastAsia"/>
                <w:color w:val="333333"/>
                <w:sz w:val="28"/>
                <w:bdr w:val="none" w:sz="0" w:space="0" w:color="auto" w:frame="1"/>
                <w:lang w:eastAsia="zh-CN"/>
              </w:rPr>
              <w:t>。</w:t>
            </w:r>
          </w:p>
        </w:tc>
      </w:tr>
      <w:tr w:rsidR="00600EC5" w:rsidRPr="0088530B" w:rsidTr="003E708C">
        <w:trPr>
          <w:trHeight w:val="28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w:t>
            </w:r>
            <w:r w:rsidRPr="00B75FF4">
              <w:rPr>
                <w:rFonts w:eastAsia="楷体_GB2312" w:cs="宋体" w:hint="eastAsia"/>
                <w:color w:val="333333"/>
                <w:sz w:val="28"/>
                <w:bdr w:val="none" w:sz="0" w:space="0" w:color="auto" w:frame="1"/>
                <w:lang w:eastAsia="zh-CN"/>
              </w:rPr>
              <w:t>3</w:t>
            </w:r>
            <w:r w:rsidRPr="00B75FF4">
              <w:rPr>
                <w:rFonts w:eastAsia="楷体_GB2312" w:cs="宋体" w:hint="eastAsia"/>
                <w:color w:val="333333"/>
                <w:sz w:val="28"/>
                <w:bdr w:val="none" w:sz="0" w:space="0" w:color="auto" w:frame="1"/>
                <w:lang w:eastAsia="zh-CN"/>
              </w:rPr>
              <w:t>、不在同一相关市场、也不存在上下游关系的参与集中的经营者，在与交易有关的每个市场所占的份额均小于</w:t>
            </w:r>
            <w:r w:rsidRPr="00B75FF4">
              <w:rPr>
                <w:rFonts w:eastAsia="楷体_GB2312" w:cs="宋体" w:hint="eastAsia"/>
                <w:color w:val="333333"/>
                <w:sz w:val="28"/>
                <w:bdr w:val="none" w:sz="0" w:space="0" w:color="auto" w:frame="1"/>
                <w:lang w:eastAsia="zh-CN"/>
              </w:rPr>
              <w:t>25%</w:t>
            </w:r>
            <w:r w:rsidRPr="00B75FF4">
              <w:rPr>
                <w:rFonts w:eastAsia="楷体_GB2312" w:cs="宋体" w:hint="eastAsia"/>
                <w:color w:val="333333"/>
                <w:sz w:val="28"/>
                <w:bdr w:val="none" w:sz="0" w:space="0" w:color="auto" w:frame="1"/>
                <w:lang w:eastAsia="zh-CN"/>
              </w:rPr>
              <w:t>。</w:t>
            </w:r>
          </w:p>
        </w:tc>
      </w:tr>
      <w:tr w:rsidR="00600EC5" w:rsidRPr="0088530B" w:rsidTr="003E708C">
        <w:trPr>
          <w:trHeight w:val="870"/>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w:t>
            </w:r>
            <w:r w:rsidRPr="00B75FF4">
              <w:rPr>
                <w:rFonts w:eastAsia="楷体_GB2312" w:cs="宋体" w:hint="eastAsia"/>
                <w:color w:val="333333"/>
                <w:sz w:val="28"/>
                <w:bdr w:val="none" w:sz="0" w:space="0" w:color="auto" w:frame="1"/>
                <w:lang w:eastAsia="zh-CN"/>
              </w:rPr>
              <w:t>4</w:t>
            </w:r>
            <w:r w:rsidRPr="00B75FF4">
              <w:rPr>
                <w:rFonts w:eastAsia="楷体_GB2312" w:cs="宋体" w:hint="eastAsia"/>
                <w:color w:val="333333"/>
                <w:sz w:val="28"/>
                <w:bdr w:val="none" w:sz="0" w:space="0" w:color="auto" w:frame="1"/>
                <w:lang w:eastAsia="zh-CN"/>
              </w:rPr>
              <w:t>、参与集中的经营者在中国境外设立合营企业，合营企业不在中国境内从事经济活动。</w:t>
            </w:r>
          </w:p>
        </w:tc>
      </w:tr>
      <w:tr w:rsidR="00600EC5" w:rsidRPr="0088530B" w:rsidTr="003E708C">
        <w:trPr>
          <w:trHeight w:val="264"/>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color w:val="333333"/>
                <w:sz w:val="28"/>
                <w:bdr w:val="none" w:sz="0" w:space="0" w:color="auto" w:frame="1"/>
              </w:rPr>
              <w:sym w:font="Wingdings" w:char="F0FE"/>
            </w:r>
            <w:r w:rsidRPr="00B75FF4">
              <w:rPr>
                <w:rFonts w:eastAsia="楷体_GB2312" w:cs="宋体" w:hint="eastAsia"/>
                <w:color w:val="333333"/>
                <w:sz w:val="28"/>
                <w:bdr w:val="none" w:sz="0" w:space="0" w:color="auto" w:frame="1"/>
                <w:lang w:eastAsia="zh-CN"/>
              </w:rPr>
              <w:t>5</w:t>
            </w:r>
            <w:r w:rsidRPr="00B75FF4">
              <w:rPr>
                <w:rFonts w:eastAsia="楷体_GB2312" w:cs="宋体" w:hint="eastAsia"/>
                <w:color w:val="333333"/>
                <w:sz w:val="28"/>
                <w:bdr w:val="none" w:sz="0" w:space="0" w:color="auto" w:frame="1"/>
                <w:lang w:eastAsia="zh-CN"/>
              </w:rPr>
              <w:t>、参与集中的经营者收购境外企业股权或资产的，该境外企业不在中国境内从事经济活动。</w:t>
            </w:r>
          </w:p>
        </w:tc>
      </w:tr>
      <w:tr w:rsidR="00600EC5" w:rsidRPr="0088530B" w:rsidTr="003E708C">
        <w:trPr>
          <w:trHeight w:val="345"/>
        </w:trPr>
        <w:tc>
          <w:tcPr>
            <w:tcW w:w="1809" w:type="dxa"/>
            <w:vMerge/>
            <w:shd w:val="clear" w:color="auto" w:fill="D9D9D9"/>
          </w:tcPr>
          <w:p w:rsidR="00600EC5" w:rsidRPr="00B75FF4" w:rsidRDefault="00600EC5" w:rsidP="003E708C">
            <w:pPr>
              <w:spacing w:line="500" w:lineRule="exact"/>
              <w:rPr>
                <w:rFonts w:eastAsia="楷体_GB2312" w:cs="宋体"/>
                <w:color w:val="333333"/>
                <w:sz w:val="28"/>
                <w:bdr w:val="none" w:sz="0" w:space="0" w:color="auto" w:frame="1"/>
                <w:lang w:eastAsia="zh-CN"/>
              </w:rPr>
            </w:pPr>
          </w:p>
        </w:tc>
        <w:tc>
          <w:tcPr>
            <w:tcW w:w="6949" w:type="dxa"/>
            <w:gridSpan w:val="2"/>
          </w:tcPr>
          <w:p w:rsidR="00600EC5" w:rsidRPr="00B75FF4" w:rsidRDefault="00600EC5" w:rsidP="003E708C">
            <w:pPr>
              <w:spacing w:line="500" w:lineRule="exact"/>
              <w:rPr>
                <w:rFonts w:eastAsia="楷体_GB2312" w:cs="宋体"/>
                <w:color w:val="333333"/>
                <w:sz w:val="28"/>
                <w:bdr w:val="none" w:sz="0" w:space="0" w:color="auto" w:frame="1"/>
                <w:lang w:eastAsia="zh-CN"/>
              </w:rPr>
            </w:pPr>
            <w:r w:rsidRPr="00B75FF4">
              <w:rPr>
                <w:rFonts w:eastAsia="楷体_GB2312" w:cs="宋体" w:hint="eastAsia"/>
                <w:color w:val="333333"/>
                <w:sz w:val="28"/>
                <w:bdr w:val="none" w:sz="0" w:space="0" w:color="auto" w:frame="1"/>
                <w:lang w:eastAsia="zh-CN"/>
              </w:rPr>
              <w:t>□</w:t>
            </w:r>
            <w:r w:rsidRPr="00B75FF4">
              <w:rPr>
                <w:rFonts w:eastAsia="楷体_GB2312" w:cs="宋体" w:hint="eastAsia"/>
                <w:color w:val="333333"/>
                <w:sz w:val="28"/>
                <w:bdr w:val="none" w:sz="0" w:space="0" w:color="auto" w:frame="1"/>
                <w:lang w:eastAsia="zh-CN"/>
              </w:rPr>
              <w:t>6</w:t>
            </w:r>
            <w:r w:rsidRPr="00B75FF4">
              <w:rPr>
                <w:rFonts w:eastAsia="楷体_GB2312" w:cs="宋体" w:hint="eastAsia"/>
                <w:color w:val="333333"/>
                <w:sz w:val="28"/>
                <w:bdr w:val="none" w:sz="0" w:space="0" w:color="auto" w:frame="1"/>
                <w:lang w:eastAsia="zh-CN"/>
              </w:rPr>
              <w:t>、由两个以上的经营者共同控制的合营企业，通过集中被其中一个或一个以上经营者控制。</w:t>
            </w:r>
          </w:p>
        </w:tc>
      </w:tr>
      <w:tr w:rsidR="00600EC5" w:rsidRPr="0088530B" w:rsidTr="003E708C">
        <w:tc>
          <w:tcPr>
            <w:tcW w:w="1809" w:type="dxa"/>
            <w:shd w:val="clear" w:color="auto" w:fill="D9D9D9"/>
          </w:tcPr>
          <w:p w:rsidR="00600EC5" w:rsidRPr="00B75FF4" w:rsidRDefault="00600EC5" w:rsidP="003E708C">
            <w:pPr>
              <w:spacing w:line="500" w:lineRule="exact"/>
              <w:rPr>
                <w:rFonts w:eastAsia="楷体_GB2312" w:cs="宋体"/>
                <w:color w:val="333333"/>
                <w:sz w:val="28"/>
                <w:bdr w:val="none" w:sz="0" w:space="0" w:color="auto" w:frame="1"/>
              </w:rPr>
            </w:pPr>
            <w:r w:rsidRPr="00B75FF4">
              <w:rPr>
                <w:rFonts w:eastAsia="楷体_GB2312" w:cs="宋体" w:hint="eastAsia"/>
                <w:color w:val="333333"/>
                <w:sz w:val="28"/>
                <w:bdr w:val="none" w:sz="0" w:space="0" w:color="auto" w:frame="1"/>
              </w:rPr>
              <w:t>备注</w:t>
            </w:r>
          </w:p>
        </w:tc>
        <w:tc>
          <w:tcPr>
            <w:tcW w:w="6949" w:type="dxa"/>
            <w:gridSpan w:val="2"/>
          </w:tcPr>
          <w:p w:rsidR="00600EC5" w:rsidRPr="00B75FF4" w:rsidRDefault="00600EC5" w:rsidP="003E708C">
            <w:pPr>
              <w:spacing w:beforeLines="50" w:before="120" w:afterLines="50" w:after="120"/>
              <w:rPr>
                <w:rFonts w:eastAsia="楷体_GB2312" w:cs="宋体"/>
                <w:color w:val="333333"/>
                <w:sz w:val="28"/>
                <w:bdr w:val="none" w:sz="0" w:space="0" w:color="auto" w:frame="1"/>
              </w:rPr>
            </w:pPr>
          </w:p>
        </w:tc>
      </w:tr>
    </w:tbl>
    <w:p w:rsidR="00600EC5" w:rsidRPr="009173C1" w:rsidRDefault="00600EC5" w:rsidP="00600EC5">
      <w:pPr>
        <w:pStyle w:val="FormCOLinklatersBody"/>
        <w:numPr>
          <w:ilvl w:val="0"/>
          <w:numId w:val="0"/>
        </w:numPr>
        <w:ind w:left="680" w:hanging="680"/>
        <w:rPr>
          <w:rFonts w:ascii="Times New Roman" w:eastAsia="楷体_GB2312" w:hAnsi="Times New Roman"/>
          <w:b/>
          <w:lang w:eastAsia="zh-CN"/>
        </w:rPr>
      </w:pPr>
    </w:p>
    <w:p w:rsidR="00CE7C31" w:rsidRDefault="00CE7C31"/>
    <w:sectPr w:rsidR="00CE7C31" w:rsidSect="007D5F78">
      <w:footerReference w:type="default" r:id="rId7"/>
      <w:footerReference w:type="first" r:id="rId8"/>
      <w:pgSz w:w="11907" w:h="16839"/>
      <w:pgMar w:top="1701" w:right="1588" w:bottom="1304" w:left="1588" w:header="766"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D4DE8">
      <w:r>
        <w:separator/>
      </w:r>
    </w:p>
  </w:endnote>
  <w:endnote w:type="continuationSeparator" w:id="0">
    <w:p w:rsidR="00000000" w:rsidRDefault="00DD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9ED" w:rsidRDefault="00600EC5">
    <w:pPr>
      <w:pStyle w:val="DocExCode"/>
      <w:jc w:val="center"/>
      <w:rPr>
        <w:rStyle w:val="a7"/>
        <w:kern w:val="17"/>
      </w:rPr>
    </w:pPr>
    <w:r>
      <w:rPr>
        <w:rStyle w:val="a7"/>
        <w:kern w:val="17"/>
      </w:rPr>
      <w:fldChar w:fldCharType="begin"/>
    </w:r>
    <w:r>
      <w:rPr>
        <w:rStyle w:val="a7"/>
        <w:kern w:val="17"/>
      </w:rPr>
      <w:instrText xml:space="preserve"> PAGE </w:instrText>
    </w:r>
    <w:r>
      <w:rPr>
        <w:rStyle w:val="a7"/>
        <w:kern w:val="17"/>
      </w:rPr>
      <w:fldChar w:fldCharType="separate"/>
    </w:r>
    <w:r w:rsidR="00DD4DE8">
      <w:rPr>
        <w:rStyle w:val="a7"/>
        <w:noProof/>
        <w:kern w:val="17"/>
      </w:rPr>
      <w:t>2</w:t>
    </w:r>
    <w:r>
      <w:rPr>
        <w:rStyle w:val="a7"/>
        <w:kern w:val="17"/>
      </w:rPr>
      <w:fldChar w:fldCharType="end"/>
    </w:r>
  </w:p>
  <w:p w:rsidR="004849ED" w:rsidRDefault="00DD4DE8" w:rsidP="00FD681A">
    <w:pPr>
      <w:pStyle w:val="a3"/>
      <w:spacing w:line="20" w:lineRule="exact"/>
      <w:jc w:val="left"/>
    </w:pPr>
  </w:p>
  <w:p w:rsidR="004849ED" w:rsidRDefault="00DD4DE8"/>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9ED" w:rsidRDefault="00600EC5">
    <w:pPr>
      <w:pStyle w:val="a3"/>
      <w:spacing w:line="20" w:lineRule="exact"/>
    </w:pPr>
    <w:r>
      <w:rPr>
        <w:noProof/>
        <w:lang w:val="en-US" w:eastAsia="zh-CN"/>
      </w:rPr>
      <mc:AlternateContent>
        <mc:Choice Requires="wps">
          <w:drawing>
            <wp:anchor distT="0" distB="0" distL="114300" distR="114300" simplePos="0" relativeHeight="251659264" behindDoc="1" locked="0" layoutInCell="1" allowOverlap="1" wp14:anchorId="79BF4EA1" wp14:editId="3B387F62">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49ED" w:rsidRDefault="00600EC5">
                          <w:pPr>
                            <w:pStyle w:val="MacPacTrailer"/>
                          </w:pPr>
                          <w:fldSimple w:instr=" DOCPROPERTY  docId ">
                            <w:r>
                              <w:t>BRU11883924</w:t>
                            </w:r>
                          </w:fldSimple>
                          <w:r>
                            <w:fldChar w:fldCharType="begin"/>
                          </w:r>
                          <w:r>
                            <w:instrText xml:space="preserve"> IF </w:instrText>
                          </w:r>
                          <w:fldSimple w:instr=" DOCPROPERTY  docIncludeVersion ">
                            <w:r>
                              <w:instrText>true</w:instrText>
                            </w:r>
                          </w:fldSimple>
                          <w:r>
                            <w:instrText xml:space="preserve"> = true "/</w:instrText>
                          </w:r>
                          <w:fldSimple w:instr=" DOCPROPERTY  docVersion ">
                            <w:r>
                              <w:instrText>1</w:instrText>
                            </w:r>
                          </w:fldSimple>
                          <w:r>
                            <w:instrText>"</w:instrText>
                          </w:r>
                          <w:r>
                            <w:fldChar w:fldCharType="separate"/>
                          </w:r>
                          <w:r>
                            <w:rPr>
                              <w:noProof/>
                            </w:rPr>
                            <w:t>/1</w:t>
                          </w:r>
                          <w:r w:rsidDel="00FD681A">
                            <w:rPr>
                              <w:noProof/>
                            </w:rPr>
                            <w:t>4</w:t>
                          </w:r>
                          <w:r>
                            <w:fldChar w:fldCharType="end"/>
                          </w:r>
                          <w:r>
                            <w:t xml:space="preserve">   </w:t>
                          </w:r>
                          <w:r>
                            <w:fldChar w:fldCharType="begin"/>
                          </w:r>
                          <w:r>
                            <w:instrText xml:space="preserve"> IF </w:instrText>
                          </w:r>
                          <w:fldSimple w:instr=" DOCPROPERTY  docIncludeCliMat ">
                            <w:r>
                              <w:instrText>true</w:instrText>
                            </w:r>
                          </w:fldSimple>
                          <w:r>
                            <w:instrText xml:space="preserve"> = true </w:instrText>
                          </w:r>
                          <w:fldSimple w:instr=" DOCPROPERTY  docCliMat ">
                            <w:r>
                              <w:instrText>140109-0025</w:instrText>
                            </w:r>
                          </w:fldSimple>
                          <w:r>
                            <w:instrText xml:space="preserve">  </w:instrText>
                          </w:r>
                          <w:r>
                            <w:fldChar w:fldCharType="separate"/>
                          </w:r>
                          <w:r>
                            <w:rPr>
                              <w:noProof/>
                            </w:rPr>
                            <w:t>140109-0025</w:t>
                          </w:r>
                          <w:r>
                            <w:fldChar w:fldCharType="end"/>
                          </w:r>
                        </w:p>
                        <w:p w:rsidR="004849ED" w:rsidRDefault="00DD4DE8">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BF4EA1" id="_x0000_t202" coordsize="21600,21600" o:spt="202" path="m,l,21600r21600,l21600,xe">
              <v:stroke joinstyle="miter"/>
              <v:path gradientshapeok="t" o:connecttype="rect"/>
            </v:shapetype>
            <v:shape id="Text Box 1" o:spid="_x0000_s1026" type="#_x0000_t202" style="position:absolute;left:0;text-align:left;margin-left:0;margin-top:-9.9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" filled="f" stroked="f">
              <v:textbox inset="0,0,0,0">
                <w:txbxContent>
                  <w:p w:rsidR="004849ED" w:rsidRDefault="00600EC5">
                    <w:pPr>
                      <w:pStyle w:val="MacPacTrailer"/>
                    </w:pPr>
                    <w:r>
                      <w:fldChar w:fldCharType="begin"/>
                    </w:r>
                    <w:r>
                      <w:instrText xml:space="preserve"> DOCPROPERTY  docId </w:instrText>
                    </w:r>
                    <w:r>
                      <w:fldChar w:fldCharType="separate"/>
                    </w:r>
                    <w:r>
                      <w:t>BRU11883924</w:t>
                    </w:r>
                    <w:r>
                      <w:fldChar w:fldCharType="end"/>
                    </w:r>
                    <w:r>
                      <w:fldChar w:fldCharType="begin"/>
                    </w:r>
                    <w:r>
                      <w:instrText xml:space="preserve"> IF </w:instrText>
                    </w:r>
                    <w:r>
                      <w:fldChar w:fldCharType="begin"/>
                    </w:r>
                    <w:r>
                      <w:instrText xml:space="preserve"> DOCPROPERTY  docIncludeVersion </w:instrText>
                    </w:r>
                    <w:r>
                      <w:fldChar w:fldCharType="separate"/>
                    </w:r>
                    <w:r>
                      <w:instrText>true</w:instrText>
                    </w:r>
                    <w:r>
                      <w:fldChar w:fldCharType="end"/>
                    </w:r>
                    <w:r>
                      <w:instrText xml:space="preserve"> = true "/</w:instrText>
                    </w:r>
                    <w:r>
                      <w:fldChar w:fldCharType="begin"/>
                    </w:r>
                    <w:r>
                      <w:instrText xml:space="preserve"> DOCPROPERTY  docVersion </w:instrText>
                    </w:r>
                    <w:r>
                      <w:fldChar w:fldCharType="separate"/>
                    </w:r>
                    <w:r>
                      <w:instrText>1</w:instrText>
                    </w:r>
                    <w:r>
                      <w:fldChar w:fldCharType="end"/>
                    </w:r>
                    <w:r>
                      <w:instrText>"</w:instrText>
                    </w:r>
                    <w:r>
                      <w:fldChar w:fldCharType="separate"/>
                    </w:r>
                    <w:r>
                      <w:rPr>
                        <w:noProof/>
                      </w:rPr>
                      <w:t>/1</w:t>
                    </w:r>
                    <w:r w:rsidDel="00FD681A">
                      <w:rPr>
                        <w:noProof/>
                      </w:rPr>
                      <w:t>4</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true</w:instrText>
                    </w:r>
                    <w:r>
                      <w:fldChar w:fldCharType="end"/>
                    </w:r>
                    <w:r>
                      <w:instrText xml:space="preserve"> = true </w:instrText>
                    </w:r>
                    <w:r>
                      <w:fldChar w:fldCharType="begin"/>
                    </w:r>
                    <w:r>
                      <w:instrText xml:space="preserve"> DOCPROPERTY  docCliMat </w:instrText>
                    </w:r>
                    <w:r>
                      <w:fldChar w:fldCharType="separate"/>
                    </w:r>
                    <w:r>
                      <w:instrText>140109-0025</w:instrText>
                    </w:r>
                    <w:r>
                      <w:fldChar w:fldCharType="end"/>
                    </w:r>
                    <w:r>
                      <w:instrText xml:space="preserve">  </w:instrText>
                    </w:r>
                    <w:r>
                      <w:fldChar w:fldCharType="separate"/>
                    </w:r>
                    <w:r>
                      <w:rPr>
                        <w:noProof/>
                      </w:rPr>
                      <w:t>140109-0025</w:t>
                    </w:r>
                    <w:r>
                      <w:fldChar w:fldCharType="end"/>
                    </w:r>
                  </w:p>
                  <w:p w:rsidR="004849ED" w:rsidRDefault="00600EC5">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D4DE8">
      <w:r>
        <w:separator/>
      </w:r>
    </w:p>
  </w:footnote>
  <w:footnote w:type="continuationSeparator" w:id="0">
    <w:p w:rsidR="00000000" w:rsidRDefault="00DD4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62245"/>
    <w:multiLevelType w:val="multilevel"/>
    <w:tmpl w:val="A63CEED4"/>
    <w:numStyleLink w:val="BodyStyle"/>
  </w:abstractNum>
  <w:abstractNum w:abstractNumId="1" w15:restartNumberingAfterBreak="0">
    <w:nsid w:val="77932258"/>
    <w:multiLevelType w:val="multilevel"/>
    <w:tmpl w:val="A63CEED4"/>
    <w:styleLink w:val="BodyStyle"/>
    <w:lvl w:ilvl="0">
      <w:start w:val="1"/>
      <w:numFmt w:val="decimal"/>
      <w:pStyle w:val="FormCOLinklatersBody"/>
      <w:lvlText w:val="(%1)"/>
      <w:lvlJc w:val="left"/>
      <w:pPr>
        <w:tabs>
          <w:tab w:val="num" w:pos="680"/>
        </w:tabs>
        <w:ind w:left="680" w:hanging="68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lvlOverride w:ilvl="0">
      <w:lvl w:ilvl="0">
        <w:start w:val="1"/>
        <w:numFmt w:val="decimal"/>
        <w:pStyle w:val="FormCOLinklatersBody"/>
        <w:lvlText w:val="(%1)"/>
        <w:lvlJc w:val="left"/>
        <w:pPr>
          <w:tabs>
            <w:tab w:val="num" w:pos="680"/>
          </w:tabs>
          <w:ind w:left="680" w:hanging="680"/>
        </w:pPr>
        <w:rPr>
          <w:rFonts w:ascii="Arial" w:hAnsi="Arial" w:hint="default"/>
          <w:b w:val="0"/>
          <w:i w:val="0"/>
          <w:sz w:val="20"/>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EC5"/>
    <w:rsid w:val="00600EC5"/>
    <w:rsid w:val="00CE7C31"/>
    <w:rsid w:val="00DD4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A90F8-93EA-4206-A90F-E3EA7A37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0EC5"/>
    <w:rPr>
      <w:rFonts w:ascii="Arial" w:eastAsia="宋体" w:hAnsi="Arial" w:cs="Times New Roman"/>
      <w:kern w:val="0"/>
      <w:sz w:val="20"/>
      <w:szCs w:val="24"/>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ExCode">
    <w:name w:val="DocExCode"/>
    <w:basedOn w:val="a"/>
    <w:rsid w:val="00600EC5"/>
    <w:pPr>
      <w:pBdr>
        <w:top w:val="single" w:sz="4" w:space="1" w:color="auto"/>
      </w:pBdr>
    </w:pPr>
    <w:rPr>
      <w:kern w:val="20"/>
      <w:sz w:val="16"/>
    </w:rPr>
  </w:style>
  <w:style w:type="paragraph" w:styleId="a3">
    <w:name w:val="footer"/>
    <w:basedOn w:val="a"/>
    <w:link w:val="a4"/>
    <w:uiPriority w:val="99"/>
    <w:rsid w:val="00600EC5"/>
    <w:pPr>
      <w:spacing w:before="120" w:after="120" w:line="290" w:lineRule="auto"/>
      <w:jc w:val="both"/>
    </w:pPr>
    <w:rPr>
      <w:kern w:val="16"/>
      <w:sz w:val="16"/>
    </w:rPr>
  </w:style>
  <w:style w:type="character" w:customStyle="1" w:styleId="a4">
    <w:name w:val="页脚 字符"/>
    <w:basedOn w:val="a0"/>
    <w:link w:val="a3"/>
    <w:uiPriority w:val="99"/>
    <w:rsid w:val="00600EC5"/>
    <w:rPr>
      <w:rFonts w:ascii="Arial" w:eastAsia="宋体" w:hAnsi="Arial" w:cs="Times New Roman"/>
      <w:kern w:val="16"/>
      <w:sz w:val="16"/>
      <w:szCs w:val="24"/>
      <w:lang w:val="en-GB" w:eastAsia="en-GB"/>
    </w:rPr>
  </w:style>
  <w:style w:type="paragraph" w:styleId="a5">
    <w:name w:val="header"/>
    <w:basedOn w:val="a"/>
    <w:link w:val="a6"/>
    <w:uiPriority w:val="99"/>
    <w:rsid w:val="00600EC5"/>
    <w:pPr>
      <w:tabs>
        <w:tab w:val="center" w:pos="4366"/>
        <w:tab w:val="right" w:pos="8732"/>
      </w:tabs>
    </w:pPr>
    <w:rPr>
      <w:kern w:val="20"/>
    </w:rPr>
  </w:style>
  <w:style w:type="character" w:customStyle="1" w:styleId="a6">
    <w:name w:val="页眉 字符"/>
    <w:basedOn w:val="a0"/>
    <w:link w:val="a5"/>
    <w:uiPriority w:val="99"/>
    <w:rsid w:val="00600EC5"/>
    <w:rPr>
      <w:rFonts w:ascii="Arial" w:eastAsia="宋体" w:hAnsi="Arial" w:cs="Times New Roman"/>
      <w:kern w:val="20"/>
      <w:sz w:val="20"/>
      <w:szCs w:val="24"/>
      <w:lang w:val="en-GB" w:eastAsia="en-GB"/>
    </w:rPr>
  </w:style>
  <w:style w:type="character" w:styleId="a7">
    <w:name w:val="page number"/>
    <w:uiPriority w:val="99"/>
    <w:rsid w:val="00600EC5"/>
    <w:rPr>
      <w:rFonts w:ascii="Arial" w:hAnsi="Arial"/>
      <w:sz w:val="20"/>
    </w:rPr>
  </w:style>
  <w:style w:type="numbering" w:customStyle="1" w:styleId="BodyStyle">
    <w:name w:val="BodyStyle"/>
    <w:uiPriority w:val="99"/>
    <w:rsid w:val="00600EC5"/>
    <w:pPr>
      <w:numPr>
        <w:numId w:val="1"/>
      </w:numPr>
    </w:pPr>
  </w:style>
  <w:style w:type="paragraph" w:customStyle="1" w:styleId="FormCOLinklatersBody">
    <w:name w:val="Form CO_Linklaters Body"/>
    <w:basedOn w:val="a"/>
    <w:rsid w:val="00600EC5"/>
    <w:pPr>
      <w:numPr>
        <w:numId w:val="2"/>
      </w:numPr>
      <w:spacing w:after="140" w:line="290" w:lineRule="auto"/>
      <w:jc w:val="both"/>
    </w:pPr>
    <w:rPr>
      <w:kern w:val="20"/>
    </w:rPr>
  </w:style>
  <w:style w:type="paragraph" w:customStyle="1" w:styleId="MacPacTrailer">
    <w:name w:val="MacPac Trailer"/>
    <w:rsid w:val="00600EC5"/>
    <w:pPr>
      <w:widowControl w:val="0"/>
      <w:spacing w:line="170" w:lineRule="exact"/>
    </w:pPr>
    <w:rPr>
      <w:rFonts w:ascii="Times New Roman" w:eastAsia="Times New Roman" w:hAnsi="Times New Roman" w:cs="Times New Roman"/>
      <w:kern w:val="0"/>
      <w:sz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169</Words>
  <Characters>966</Characters>
  <Application>Microsoft Office Word</Application>
  <DocSecurity>0</DocSecurity>
  <Lines>8</Lines>
  <Paragraphs>2</Paragraphs>
  <ScaleCrop>false</ScaleCrop>
  <Company>KWM</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Tianran</dc:creator>
  <cp:keywords/>
  <dc:description/>
  <cp:lastModifiedBy>KWM</cp:lastModifiedBy>
  <cp:revision>2</cp:revision>
  <dcterms:created xsi:type="dcterms:W3CDTF">2019-10-16T04:58:00Z</dcterms:created>
  <dcterms:modified xsi:type="dcterms:W3CDTF">2019-10-16T05:33:00Z</dcterms:modified>
</cp:coreProperties>
</file>