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00DF" w:rsidRPr="0044115B" w:rsidRDefault="00CB00DF" w:rsidP="00CB00DF">
      <w:pPr>
        <w:spacing w:line="440" w:lineRule="exact"/>
        <w:jc w:val="center"/>
        <w:rPr>
          <w:rFonts w:ascii="Times New Roman" w:eastAsia="仿宋" w:hAnsi="Times New Roman"/>
          <w:sz w:val="24"/>
          <w:szCs w:val="24"/>
        </w:rPr>
      </w:pPr>
      <w:r w:rsidRPr="0044115B">
        <w:rPr>
          <w:rFonts w:ascii="Times New Roman" w:eastAsia="仿宋" w:hAnsi="Times New Roman"/>
          <w:sz w:val="24"/>
          <w:szCs w:val="24"/>
        </w:rPr>
        <w:t>经营者集中简易案件公示表</w:t>
      </w:r>
    </w:p>
    <w:p w:rsidR="00CB00DF" w:rsidRPr="0044115B" w:rsidRDefault="00CB00DF" w:rsidP="00CB00DF">
      <w:pPr>
        <w:spacing w:line="440" w:lineRule="exact"/>
        <w:rPr>
          <w:rFonts w:ascii="Times New Roman" w:eastAsia="仿宋" w:hAnsi="Times New Roman"/>
          <w:sz w:val="24"/>
          <w:szCs w:val="24"/>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1796"/>
        <w:gridCol w:w="5153"/>
      </w:tblGrid>
      <w:tr w:rsidR="002F3D52" w:rsidRPr="0044115B" w:rsidTr="00540581">
        <w:tc>
          <w:tcPr>
            <w:tcW w:w="1809" w:type="dxa"/>
            <w:shd w:val="clear" w:color="auto" w:fill="D9D9D9"/>
            <w:vAlign w:val="center"/>
          </w:tcPr>
          <w:p w:rsidR="00CB00DF" w:rsidRPr="0044115B" w:rsidRDefault="00CB00DF" w:rsidP="00CB00DF">
            <w:pPr>
              <w:spacing w:line="500" w:lineRule="exact"/>
              <w:jc w:val="center"/>
              <w:rPr>
                <w:rFonts w:ascii="Times New Roman" w:eastAsia="仿宋" w:hAnsi="Times New Roman"/>
                <w:kern w:val="0"/>
                <w:sz w:val="24"/>
                <w:szCs w:val="24"/>
                <w:bdr w:val="none" w:sz="0" w:space="0" w:color="auto" w:frame="1"/>
              </w:rPr>
            </w:pPr>
            <w:r w:rsidRPr="0044115B">
              <w:rPr>
                <w:rFonts w:ascii="Times New Roman" w:eastAsia="仿宋" w:hAnsi="Times New Roman"/>
                <w:kern w:val="0"/>
                <w:sz w:val="24"/>
                <w:szCs w:val="24"/>
                <w:bdr w:val="none" w:sz="0" w:space="0" w:color="auto" w:frame="1"/>
              </w:rPr>
              <w:t>案件名称</w:t>
            </w:r>
          </w:p>
        </w:tc>
        <w:tc>
          <w:tcPr>
            <w:tcW w:w="6949" w:type="dxa"/>
            <w:gridSpan w:val="2"/>
            <w:vAlign w:val="center"/>
          </w:tcPr>
          <w:p w:rsidR="00CB00DF" w:rsidRPr="0044115B" w:rsidRDefault="0044115B" w:rsidP="00EC1743">
            <w:pPr>
              <w:spacing w:line="500" w:lineRule="exact"/>
              <w:rPr>
                <w:rFonts w:ascii="Times New Roman" w:eastAsia="仿宋" w:hAnsi="Times New Roman"/>
                <w:kern w:val="0"/>
                <w:sz w:val="24"/>
                <w:szCs w:val="24"/>
                <w:bdr w:val="none" w:sz="0" w:space="0" w:color="auto" w:frame="1"/>
              </w:rPr>
            </w:pPr>
            <w:r w:rsidRPr="0044115B">
              <w:rPr>
                <w:rFonts w:ascii="Times New Roman" w:eastAsia="仿宋" w:hAnsi="Times New Roman" w:hint="eastAsia"/>
                <w:kern w:val="0"/>
                <w:sz w:val="24"/>
                <w:szCs w:val="24"/>
              </w:rPr>
              <w:t>奇安信科技集团股份有限公司与联通系统集成有限公司新设合营企业案</w:t>
            </w:r>
          </w:p>
        </w:tc>
      </w:tr>
      <w:tr w:rsidR="002F3D52" w:rsidRPr="0044115B" w:rsidTr="00CB00DF">
        <w:trPr>
          <w:trHeight w:val="993"/>
        </w:trPr>
        <w:tc>
          <w:tcPr>
            <w:tcW w:w="1809" w:type="dxa"/>
            <w:shd w:val="clear" w:color="auto" w:fill="D9D9D9"/>
            <w:vAlign w:val="center"/>
          </w:tcPr>
          <w:p w:rsidR="00F1624E" w:rsidRPr="0044115B" w:rsidRDefault="00CB00DF" w:rsidP="00CB00DF">
            <w:pPr>
              <w:spacing w:line="500" w:lineRule="exact"/>
              <w:jc w:val="center"/>
              <w:rPr>
                <w:rFonts w:ascii="Times New Roman" w:eastAsia="仿宋" w:hAnsi="Times New Roman"/>
                <w:kern w:val="0"/>
                <w:sz w:val="24"/>
                <w:szCs w:val="24"/>
                <w:bdr w:val="none" w:sz="0" w:space="0" w:color="auto" w:frame="1"/>
              </w:rPr>
            </w:pPr>
            <w:r w:rsidRPr="0044115B">
              <w:rPr>
                <w:rFonts w:ascii="Times New Roman" w:eastAsia="仿宋" w:hAnsi="Times New Roman"/>
                <w:kern w:val="0"/>
                <w:sz w:val="24"/>
                <w:szCs w:val="24"/>
                <w:bdr w:val="none" w:sz="0" w:space="0" w:color="auto" w:frame="1"/>
              </w:rPr>
              <w:t>交易概况</w:t>
            </w:r>
          </w:p>
          <w:p w:rsidR="00CB00DF" w:rsidRPr="0044115B" w:rsidRDefault="00CB00DF" w:rsidP="00CB00DF">
            <w:pPr>
              <w:spacing w:line="500" w:lineRule="exact"/>
              <w:jc w:val="center"/>
              <w:rPr>
                <w:rFonts w:ascii="Times New Roman" w:eastAsia="仿宋" w:hAnsi="Times New Roman"/>
                <w:kern w:val="0"/>
                <w:sz w:val="24"/>
                <w:szCs w:val="24"/>
                <w:bdr w:val="none" w:sz="0" w:space="0" w:color="auto" w:frame="1"/>
              </w:rPr>
            </w:pPr>
            <w:r w:rsidRPr="0044115B">
              <w:rPr>
                <w:rFonts w:ascii="Times New Roman" w:eastAsia="仿宋" w:hAnsi="Times New Roman"/>
                <w:kern w:val="0"/>
                <w:sz w:val="24"/>
                <w:szCs w:val="24"/>
                <w:bdr w:val="none" w:sz="0" w:space="0" w:color="auto" w:frame="1"/>
              </w:rPr>
              <w:t>（限</w:t>
            </w:r>
            <w:r w:rsidRPr="0044115B">
              <w:rPr>
                <w:rFonts w:ascii="Times New Roman" w:eastAsia="仿宋" w:hAnsi="Times New Roman"/>
                <w:kern w:val="0"/>
                <w:sz w:val="24"/>
                <w:szCs w:val="24"/>
                <w:bdr w:val="none" w:sz="0" w:space="0" w:color="auto" w:frame="1"/>
              </w:rPr>
              <w:t>200</w:t>
            </w:r>
            <w:r w:rsidRPr="0044115B">
              <w:rPr>
                <w:rFonts w:ascii="Times New Roman" w:eastAsia="仿宋" w:hAnsi="Times New Roman"/>
                <w:kern w:val="0"/>
                <w:sz w:val="24"/>
                <w:szCs w:val="24"/>
                <w:bdr w:val="none" w:sz="0" w:space="0" w:color="auto" w:frame="1"/>
              </w:rPr>
              <w:t>字内）</w:t>
            </w:r>
          </w:p>
        </w:tc>
        <w:tc>
          <w:tcPr>
            <w:tcW w:w="6949" w:type="dxa"/>
            <w:gridSpan w:val="2"/>
          </w:tcPr>
          <w:p w:rsidR="00CB00DF" w:rsidRPr="0044115B" w:rsidRDefault="0044115B" w:rsidP="0044115B">
            <w:pPr>
              <w:spacing w:line="500" w:lineRule="exact"/>
              <w:rPr>
                <w:rFonts w:ascii="Times New Roman" w:eastAsia="仿宋" w:hAnsi="Times New Roman"/>
                <w:kern w:val="0"/>
                <w:sz w:val="24"/>
                <w:szCs w:val="24"/>
                <w:bdr w:val="none" w:sz="0" w:space="0" w:color="auto" w:frame="1"/>
              </w:rPr>
            </w:pPr>
            <w:r w:rsidRPr="0044115B">
              <w:rPr>
                <w:rFonts w:ascii="Times New Roman" w:eastAsia="仿宋" w:hAnsi="Times New Roman" w:hint="eastAsia"/>
                <w:kern w:val="0"/>
                <w:sz w:val="24"/>
                <w:szCs w:val="24"/>
              </w:rPr>
              <w:t>联通系统集成有限公司</w:t>
            </w:r>
            <w:r>
              <w:rPr>
                <w:rFonts w:ascii="Times New Roman" w:eastAsia="仿宋" w:hAnsi="Times New Roman" w:hint="eastAsia"/>
                <w:kern w:val="0"/>
                <w:sz w:val="24"/>
                <w:szCs w:val="24"/>
              </w:rPr>
              <w:t>（“</w:t>
            </w:r>
            <w:r w:rsidRPr="0044115B">
              <w:rPr>
                <w:rFonts w:ascii="Times New Roman" w:eastAsia="仿宋" w:hAnsi="Times New Roman" w:hint="eastAsia"/>
                <w:b/>
                <w:kern w:val="0"/>
                <w:sz w:val="24"/>
                <w:szCs w:val="24"/>
              </w:rPr>
              <w:t>联通系统集成</w:t>
            </w:r>
            <w:r>
              <w:rPr>
                <w:rFonts w:ascii="Times New Roman" w:eastAsia="仿宋" w:hAnsi="Times New Roman" w:hint="eastAsia"/>
                <w:kern w:val="0"/>
                <w:sz w:val="24"/>
                <w:szCs w:val="24"/>
              </w:rPr>
              <w:t>”）通过</w:t>
            </w:r>
            <w:r w:rsidRPr="0044115B">
              <w:rPr>
                <w:rFonts w:ascii="Times New Roman" w:eastAsia="仿宋" w:hAnsi="Times New Roman" w:hint="eastAsia"/>
                <w:kern w:val="0"/>
                <w:sz w:val="24"/>
                <w:szCs w:val="24"/>
              </w:rPr>
              <w:t>联通智慧安全科技有限公司</w:t>
            </w:r>
            <w:r>
              <w:rPr>
                <w:rFonts w:ascii="Times New Roman" w:eastAsia="仿宋" w:hAnsi="Times New Roman" w:hint="eastAsia"/>
                <w:kern w:val="0"/>
                <w:sz w:val="24"/>
                <w:szCs w:val="24"/>
              </w:rPr>
              <w:t>与</w:t>
            </w:r>
            <w:r w:rsidRPr="0044115B">
              <w:rPr>
                <w:rFonts w:ascii="Times New Roman" w:eastAsia="仿宋" w:hAnsi="Times New Roman" w:hint="eastAsia"/>
                <w:kern w:val="0"/>
                <w:sz w:val="24"/>
                <w:szCs w:val="24"/>
              </w:rPr>
              <w:t>奇安信科技集团股份有限公司</w:t>
            </w:r>
            <w:r>
              <w:rPr>
                <w:rFonts w:ascii="Times New Roman" w:eastAsia="仿宋" w:hAnsi="Times New Roman" w:hint="eastAsia"/>
                <w:kern w:val="0"/>
                <w:sz w:val="24"/>
                <w:szCs w:val="24"/>
              </w:rPr>
              <w:t>（“</w:t>
            </w:r>
            <w:r w:rsidRPr="0044115B">
              <w:rPr>
                <w:rFonts w:ascii="Times New Roman" w:eastAsia="仿宋" w:hAnsi="Times New Roman" w:hint="eastAsia"/>
                <w:b/>
                <w:kern w:val="0"/>
                <w:sz w:val="24"/>
                <w:szCs w:val="24"/>
              </w:rPr>
              <w:t>奇安信</w:t>
            </w:r>
            <w:r>
              <w:rPr>
                <w:rFonts w:ascii="Times New Roman" w:eastAsia="仿宋" w:hAnsi="Times New Roman" w:hint="eastAsia"/>
                <w:kern w:val="0"/>
                <w:sz w:val="24"/>
                <w:szCs w:val="24"/>
              </w:rPr>
              <w:t>”）共同出资，设立合营企业。本次交易后，联通系统集成与奇安信将</w:t>
            </w:r>
            <w:r w:rsidR="006F307C">
              <w:rPr>
                <w:rFonts w:ascii="Times New Roman" w:eastAsia="仿宋" w:hAnsi="Times New Roman" w:hint="eastAsia"/>
                <w:kern w:val="0"/>
                <w:sz w:val="24"/>
                <w:szCs w:val="24"/>
              </w:rPr>
              <w:t>分别持有合营企业</w:t>
            </w:r>
            <w:r w:rsidR="006F307C">
              <w:rPr>
                <w:rFonts w:ascii="Times New Roman" w:eastAsia="仿宋" w:hAnsi="Times New Roman" w:hint="eastAsia"/>
                <w:kern w:val="0"/>
                <w:sz w:val="24"/>
                <w:szCs w:val="24"/>
              </w:rPr>
              <w:t>51%</w:t>
            </w:r>
            <w:r w:rsidR="006F307C">
              <w:rPr>
                <w:rFonts w:ascii="Times New Roman" w:eastAsia="仿宋" w:hAnsi="Times New Roman" w:hint="eastAsia"/>
                <w:kern w:val="0"/>
                <w:sz w:val="24"/>
                <w:szCs w:val="24"/>
              </w:rPr>
              <w:t>和</w:t>
            </w:r>
            <w:r w:rsidR="006F307C">
              <w:rPr>
                <w:rFonts w:ascii="Times New Roman" w:eastAsia="仿宋" w:hAnsi="Times New Roman" w:hint="eastAsia"/>
                <w:kern w:val="0"/>
                <w:sz w:val="24"/>
                <w:szCs w:val="24"/>
              </w:rPr>
              <w:t>49%</w:t>
            </w:r>
            <w:r w:rsidR="006F307C">
              <w:rPr>
                <w:rFonts w:ascii="Times New Roman" w:eastAsia="仿宋" w:hAnsi="Times New Roman" w:hint="eastAsia"/>
                <w:kern w:val="0"/>
                <w:sz w:val="24"/>
                <w:szCs w:val="24"/>
              </w:rPr>
              <w:t>的股份，</w:t>
            </w:r>
            <w:r>
              <w:rPr>
                <w:rFonts w:ascii="Times New Roman" w:eastAsia="仿宋" w:hAnsi="Times New Roman" w:hint="eastAsia"/>
                <w:kern w:val="0"/>
                <w:sz w:val="24"/>
                <w:szCs w:val="24"/>
              </w:rPr>
              <w:t>共同控制合营企业。</w:t>
            </w:r>
          </w:p>
        </w:tc>
      </w:tr>
      <w:tr w:rsidR="002F3D52" w:rsidRPr="0044115B" w:rsidTr="00CB00DF">
        <w:trPr>
          <w:trHeight w:val="468"/>
        </w:trPr>
        <w:tc>
          <w:tcPr>
            <w:tcW w:w="1809" w:type="dxa"/>
            <w:vMerge w:val="restart"/>
            <w:shd w:val="clear" w:color="auto" w:fill="D9D9D9"/>
            <w:vAlign w:val="center"/>
          </w:tcPr>
          <w:p w:rsidR="00F1624E" w:rsidRPr="0044115B" w:rsidRDefault="00CB00DF" w:rsidP="00CB00DF">
            <w:pPr>
              <w:spacing w:line="500" w:lineRule="exact"/>
              <w:jc w:val="center"/>
              <w:rPr>
                <w:rFonts w:ascii="Times New Roman" w:eastAsia="仿宋" w:hAnsi="Times New Roman"/>
                <w:kern w:val="0"/>
                <w:sz w:val="24"/>
                <w:szCs w:val="24"/>
                <w:bdr w:val="none" w:sz="0" w:space="0" w:color="auto" w:frame="1"/>
              </w:rPr>
            </w:pPr>
            <w:r w:rsidRPr="0044115B">
              <w:rPr>
                <w:rFonts w:ascii="Times New Roman" w:eastAsia="仿宋" w:hAnsi="Times New Roman"/>
                <w:kern w:val="0"/>
                <w:sz w:val="24"/>
                <w:szCs w:val="24"/>
                <w:bdr w:val="none" w:sz="0" w:space="0" w:color="auto" w:frame="1"/>
              </w:rPr>
              <w:t>参与集中的</w:t>
            </w:r>
          </w:p>
          <w:p w:rsidR="00CB00DF" w:rsidRPr="0044115B" w:rsidRDefault="00CB00DF" w:rsidP="00CB00DF">
            <w:pPr>
              <w:spacing w:line="500" w:lineRule="exact"/>
              <w:jc w:val="center"/>
              <w:rPr>
                <w:rFonts w:ascii="Times New Roman" w:eastAsia="仿宋" w:hAnsi="Times New Roman"/>
                <w:kern w:val="0"/>
                <w:sz w:val="24"/>
                <w:szCs w:val="24"/>
                <w:bdr w:val="none" w:sz="0" w:space="0" w:color="auto" w:frame="1"/>
              </w:rPr>
            </w:pPr>
            <w:r w:rsidRPr="0044115B">
              <w:rPr>
                <w:rFonts w:ascii="Times New Roman" w:eastAsia="仿宋" w:hAnsi="Times New Roman"/>
                <w:kern w:val="0"/>
                <w:sz w:val="24"/>
                <w:szCs w:val="24"/>
                <w:bdr w:val="none" w:sz="0" w:space="0" w:color="auto" w:frame="1"/>
              </w:rPr>
              <w:t>经营者简介</w:t>
            </w:r>
          </w:p>
        </w:tc>
        <w:tc>
          <w:tcPr>
            <w:tcW w:w="1796" w:type="dxa"/>
          </w:tcPr>
          <w:p w:rsidR="00CB00DF" w:rsidRPr="0044115B" w:rsidRDefault="00CB00DF" w:rsidP="006908A4">
            <w:pPr>
              <w:spacing w:line="500" w:lineRule="exact"/>
              <w:rPr>
                <w:rFonts w:ascii="Times New Roman" w:eastAsia="仿宋" w:hAnsi="Times New Roman"/>
                <w:kern w:val="0"/>
                <w:sz w:val="24"/>
                <w:szCs w:val="24"/>
                <w:bdr w:val="none" w:sz="0" w:space="0" w:color="auto" w:frame="1"/>
              </w:rPr>
            </w:pPr>
            <w:r w:rsidRPr="0044115B">
              <w:rPr>
                <w:rFonts w:ascii="Times New Roman" w:eastAsia="仿宋" w:hAnsi="Times New Roman"/>
                <w:kern w:val="0"/>
                <w:sz w:val="24"/>
                <w:szCs w:val="24"/>
                <w:bdr w:val="none" w:sz="0" w:space="0" w:color="auto" w:frame="1"/>
              </w:rPr>
              <w:t>1</w:t>
            </w:r>
            <w:r w:rsidRPr="0044115B">
              <w:rPr>
                <w:rFonts w:ascii="Times New Roman" w:eastAsia="仿宋" w:hAnsi="Times New Roman"/>
                <w:kern w:val="0"/>
                <w:sz w:val="24"/>
                <w:szCs w:val="24"/>
                <w:bdr w:val="none" w:sz="0" w:space="0" w:color="auto" w:frame="1"/>
              </w:rPr>
              <w:t>、</w:t>
            </w:r>
            <w:r w:rsidR="0044115B">
              <w:rPr>
                <w:rFonts w:ascii="Times New Roman" w:eastAsia="仿宋" w:hAnsi="Times New Roman" w:hint="eastAsia"/>
                <w:kern w:val="0"/>
                <w:sz w:val="24"/>
                <w:szCs w:val="24"/>
                <w:bdr w:val="none" w:sz="0" w:space="0" w:color="auto" w:frame="1"/>
              </w:rPr>
              <w:t>奇安信</w:t>
            </w:r>
          </w:p>
        </w:tc>
        <w:tc>
          <w:tcPr>
            <w:tcW w:w="5153" w:type="dxa"/>
          </w:tcPr>
          <w:p w:rsidR="00CB00DF" w:rsidRDefault="0044115B" w:rsidP="00BA4778">
            <w:pPr>
              <w:spacing w:line="500" w:lineRule="exact"/>
              <w:rPr>
                <w:rFonts w:ascii="Times New Roman" w:eastAsia="仿宋" w:hAnsi="Times New Roman"/>
                <w:sz w:val="24"/>
                <w:szCs w:val="24"/>
              </w:rPr>
            </w:pPr>
            <w:r w:rsidRPr="0044115B">
              <w:rPr>
                <w:rFonts w:ascii="Times New Roman" w:eastAsia="仿宋" w:hAnsi="Times New Roman" w:hint="eastAsia"/>
                <w:sz w:val="24"/>
                <w:szCs w:val="24"/>
              </w:rPr>
              <w:t>奇安信是中国最早设立的网络安全公司之一，为政府、企业，教育、金融等机构和组织提供企业级网络安全技术、产品和服务。</w:t>
            </w:r>
          </w:p>
          <w:p w:rsidR="0044115B" w:rsidRPr="0044115B" w:rsidRDefault="0044115B" w:rsidP="00BA4778">
            <w:pPr>
              <w:spacing w:line="500" w:lineRule="exact"/>
              <w:rPr>
                <w:rFonts w:ascii="Times New Roman" w:eastAsia="仿宋" w:hAnsi="Times New Roman"/>
                <w:kern w:val="0"/>
                <w:sz w:val="24"/>
                <w:szCs w:val="24"/>
                <w:bdr w:val="none" w:sz="0" w:space="0" w:color="auto" w:frame="1"/>
              </w:rPr>
            </w:pPr>
          </w:p>
        </w:tc>
      </w:tr>
      <w:tr w:rsidR="002F3D52" w:rsidRPr="0044115B" w:rsidTr="00CB00DF">
        <w:trPr>
          <w:trHeight w:val="404"/>
        </w:trPr>
        <w:tc>
          <w:tcPr>
            <w:tcW w:w="1809" w:type="dxa"/>
            <w:vMerge/>
            <w:shd w:val="clear" w:color="auto" w:fill="D9D9D9"/>
            <w:vAlign w:val="center"/>
          </w:tcPr>
          <w:p w:rsidR="00CB00DF" w:rsidRPr="0044115B" w:rsidRDefault="00CB00DF" w:rsidP="00CB00DF">
            <w:pPr>
              <w:spacing w:line="500" w:lineRule="exact"/>
              <w:jc w:val="center"/>
              <w:rPr>
                <w:rFonts w:ascii="Times New Roman" w:eastAsia="仿宋" w:hAnsi="Times New Roman"/>
                <w:kern w:val="0"/>
                <w:sz w:val="24"/>
                <w:szCs w:val="24"/>
                <w:bdr w:val="none" w:sz="0" w:space="0" w:color="auto" w:frame="1"/>
              </w:rPr>
            </w:pPr>
          </w:p>
        </w:tc>
        <w:tc>
          <w:tcPr>
            <w:tcW w:w="1796" w:type="dxa"/>
          </w:tcPr>
          <w:p w:rsidR="0044115B" w:rsidRPr="0044115B" w:rsidRDefault="00CB00DF" w:rsidP="006908A4">
            <w:pPr>
              <w:spacing w:line="500" w:lineRule="exact"/>
              <w:rPr>
                <w:rFonts w:ascii="Times New Roman" w:eastAsia="仿宋" w:hAnsi="Times New Roman"/>
                <w:kern w:val="0"/>
                <w:sz w:val="24"/>
                <w:szCs w:val="24"/>
                <w:bdr w:val="none" w:sz="0" w:space="0" w:color="auto" w:frame="1"/>
              </w:rPr>
            </w:pPr>
            <w:r w:rsidRPr="0044115B">
              <w:rPr>
                <w:rFonts w:ascii="Times New Roman" w:eastAsia="仿宋" w:hAnsi="Times New Roman"/>
                <w:kern w:val="0"/>
                <w:sz w:val="24"/>
                <w:szCs w:val="24"/>
                <w:bdr w:val="none" w:sz="0" w:space="0" w:color="auto" w:frame="1"/>
              </w:rPr>
              <w:t>2</w:t>
            </w:r>
            <w:r w:rsidR="0044115B">
              <w:rPr>
                <w:rFonts w:ascii="Times New Roman" w:eastAsia="仿宋" w:hAnsi="Times New Roman" w:hint="eastAsia"/>
                <w:kern w:val="0"/>
                <w:sz w:val="24"/>
                <w:szCs w:val="24"/>
                <w:bdr w:val="none" w:sz="0" w:space="0" w:color="auto" w:frame="1"/>
              </w:rPr>
              <w:t>、联通系统集成</w:t>
            </w:r>
          </w:p>
        </w:tc>
        <w:tc>
          <w:tcPr>
            <w:tcW w:w="5153" w:type="dxa"/>
          </w:tcPr>
          <w:p w:rsidR="00CA2C00" w:rsidRPr="006F307C" w:rsidRDefault="006F307C" w:rsidP="00CA2C00">
            <w:pPr>
              <w:spacing w:line="360" w:lineRule="auto"/>
              <w:rPr>
                <w:rFonts w:ascii="Times New Roman" w:eastAsia="仿宋" w:hAnsi="Times New Roman"/>
                <w:sz w:val="24"/>
                <w:szCs w:val="24"/>
              </w:rPr>
            </w:pPr>
            <w:r w:rsidRPr="006F307C">
              <w:rPr>
                <w:rFonts w:ascii="Times New Roman" w:eastAsia="仿宋" w:hAnsi="Times New Roman" w:hint="eastAsia"/>
                <w:sz w:val="24"/>
                <w:szCs w:val="24"/>
              </w:rPr>
              <w:t>联通系统集成是</w:t>
            </w:r>
            <w:r w:rsidRPr="0044115B">
              <w:rPr>
                <w:rFonts w:ascii="Times New Roman" w:eastAsia="仿宋" w:hAnsi="Times New Roman" w:hint="eastAsia"/>
                <w:sz w:val="24"/>
                <w:szCs w:val="24"/>
              </w:rPr>
              <w:t>中国联合网络通信有限公司</w:t>
            </w:r>
            <w:r w:rsidRPr="006F307C">
              <w:rPr>
                <w:rFonts w:ascii="Times New Roman" w:eastAsia="仿宋" w:hAnsi="Times New Roman" w:hint="eastAsia"/>
                <w:sz w:val="24"/>
                <w:szCs w:val="24"/>
              </w:rPr>
              <w:t>成立的，专注于政务、生态环境、教育、医卫、交通旅游、工业制造等重点垂直行业的专业子公司，全面整合中国联通云计算、物联网、大数据、人工智能等创新资源，构建全国一体化的产业互联网大集成服务体系，全面打造高端解决方案、自主云化集成、智能运营服务、开放创新研发四大核心能力，为广大政企客户提供基于</w:t>
            </w:r>
            <w:r w:rsidRPr="006F307C">
              <w:rPr>
                <w:rFonts w:ascii="Times New Roman" w:eastAsia="仿宋" w:hAnsi="Times New Roman" w:hint="eastAsia"/>
                <w:sz w:val="24"/>
                <w:szCs w:val="24"/>
              </w:rPr>
              <w:t>IT</w:t>
            </w:r>
            <w:r w:rsidRPr="006F307C">
              <w:rPr>
                <w:rFonts w:ascii="Times New Roman" w:eastAsia="仿宋" w:hAnsi="Times New Roman" w:hint="eastAsia"/>
                <w:sz w:val="24"/>
                <w:szCs w:val="24"/>
              </w:rPr>
              <w:t>全生命周期的一揽子综合解决方</w:t>
            </w:r>
            <w:bookmarkStart w:id="0" w:name="_GoBack"/>
            <w:bookmarkEnd w:id="0"/>
            <w:r w:rsidRPr="006F307C">
              <w:rPr>
                <w:rFonts w:ascii="Times New Roman" w:eastAsia="仿宋" w:hAnsi="Times New Roman" w:hint="eastAsia"/>
                <w:sz w:val="24"/>
                <w:szCs w:val="24"/>
              </w:rPr>
              <w:t>案。</w:t>
            </w:r>
          </w:p>
          <w:p w:rsidR="00CB00DF" w:rsidRPr="0044115B" w:rsidRDefault="00CB00DF" w:rsidP="00BA4778">
            <w:pPr>
              <w:spacing w:line="500" w:lineRule="exact"/>
              <w:rPr>
                <w:rFonts w:ascii="Times New Roman" w:eastAsia="仿宋" w:hAnsi="Times New Roman"/>
                <w:kern w:val="0"/>
                <w:sz w:val="24"/>
                <w:szCs w:val="24"/>
                <w:bdr w:val="none" w:sz="0" w:space="0" w:color="auto" w:frame="1"/>
              </w:rPr>
            </w:pPr>
          </w:p>
        </w:tc>
      </w:tr>
      <w:tr w:rsidR="002F3D52" w:rsidRPr="0044115B" w:rsidTr="00540581">
        <w:trPr>
          <w:trHeight w:val="279"/>
        </w:trPr>
        <w:tc>
          <w:tcPr>
            <w:tcW w:w="1809" w:type="dxa"/>
            <w:vMerge w:val="restart"/>
            <w:shd w:val="clear" w:color="auto" w:fill="D9D9D9"/>
            <w:vAlign w:val="center"/>
          </w:tcPr>
          <w:p w:rsidR="00CB00DF" w:rsidRPr="0044115B" w:rsidRDefault="00CB00DF" w:rsidP="00CB00DF">
            <w:pPr>
              <w:spacing w:line="500" w:lineRule="exact"/>
              <w:jc w:val="center"/>
              <w:rPr>
                <w:rFonts w:ascii="Times New Roman" w:eastAsia="仿宋" w:hAnsi="Times New Roman"/>
                <w:kern w:val="0"/>
                <w:sz w:val="24"/>
                <w:szCs w:val="24"/>
                <w:bdr w:val="none" w:sz="0" w:space="0" w:color="auto" w:frame="1"/>
              </w:rPr>
            </w:pPr>
            <w:r w:rsidRPr="0044115B">
              <w:rPr>
                <w:rFonts w:ascii="Times New Roman" w:eastAsia="仿宋" w:hAnsi="Times New Roman"/>
                <w:kern w:val="0"/>
                <w:sz w:val="24"/>
                <w:szCs w:val="24"/>
                <w:bdr w:val="none" w:sz="0" w:space="0" w:color="auto" w:frame="1"/>
              </w:rPr>
              <w:t>简易案件理由（可以单选，也可以多选）</w:t>
            </w:r>
          </w:p>
        </w:tc>
        <w:tc>
          <w:tcPr>
            <w:tcW w:w="6949" w:type="dxa"/>
            <w:gridSpan w:val="2"/>
            <w:vAlign w:val="center"/>
          </w:tcPr>
          <w:p w:rsidR="00CB00DF" w:rsidRPr="0044115B" w:rsidRDefault="006F307C" w:rsidP="006908A4">
            <w:pPr>
              <w:spacing w:line="500" w:lineRule="exact"/>
              <w:rPr>
                <w:rFonts w:ascii="Times New Roman" w:eastAsia="仿宋" w:hAnsi="Times New Roman"/>
                <w:kern w:val="0"/>
                <w:sz w:val="24"/>
                <w:szCs w:val="24"/>
                <w:bdr w:val="none" w:sz="0" w:space="0" w:color="auto" w:frame="1"/>
              </w:rPr>
            </w:pPr>
            <w:r>
              <w:rPr>
                <w:rFonts w:ascii="Times New Roman" w:eastAsia="仿宋" w:hAnsi="Times New Roman"/>
                <w:kern w:val="0"/>
                <w:sz w:val="24"/>
                <w:szCs w:val="24"/>
                <w:bdr w:val="none" w:sz="0" w:space="0" w:color="auto" w:frame="1"/>
              </w:rPr>
              <w:sym w:font="Wingdings" w:char="F0FE"/>
            </w:r>
            <w:r w:rsidR="00CB00DF" w:rsidRPr="0044115B">
              <w:rPr>
                <w:rFonts w:ascii="Times New Roman" w:eastAsia="仿宋" w:hAnsi="Times New Roman"/>
                <w:kern w:val="0"/>
                <w:sz w:val="24"/>
                <w:szCs w:val="24"/>
                <w:bdr w:val="none" w:sz="0" w:space="0" w:color="auto" w:frame="1"/>
              </w:rPr>
              <w:t>1.</w:t>
            </w:r>
            <w:r w:rsidR="00CB00DF" w:rsidRPr="0044115B">
              <w:rPr>
                <w:rFonts w:ascii="Times New Roman" w:eastAsia="仿宋" w:hAnsi="Times New Roman"/>
                <w:kern w:val="0"/>
                <w:sz w:val="24"/>
                <w:szCs w:val="24"/>
                <w:bdr w:val="none" w:sz="0" w:space="0" w:color="auto" w:frame="1"/>
              </w:rPr>
              <w:t>在同一相关市场，所有参与集中的经营者所占市场份额之和小于</w:t>
            </w:r>
            <w:r w:rsidR="00CB00DF" w:rsidRPr="0044115B">
              <w:rPr>
                <w:rFonts w:ascii="Times New Roman" w:eastAsia="仿宋" w:hAnsi="Times New Roman"/>
                <w:kern w:val="0"/>
                <w:sz w:val="24"/>
                <w:szCs w:val="24"/>
                <w:bdr w:val="none" w:sz="0" w:space="0" w:color="auto" w:frame="1"/>
              </w:rPr>
              <w:t>15%</w:t>
            </w:r>
            <w:r w:rsidR="00CB00DF" w:rsidRPr="0044115B">
              <w:rPr>
                <w:rFonts w:ascii="Times New Roman" w:eastAsia="仿宋" w:hAnsi="Times New Roman"/>
                <w:kern w:val="0"/>
                <w:sz w:val="24"/>
                <w:szCs w:val="24"/>
                <w:bdr w:val="none" w:sz="0" w:space="0" w:color="auto" w:frame="1"/>
              </w:rPr>
              <w:t>。</w:t>
            </w:r>
          </w:p>
        </w:tc>
      </w:tr>
      <w:tr w:rsidR="002F3D52" w:rsidRPr="0044115B" w:rsidTr="00540581">
        <w:trPr>
          <w:trHeight w:val="330"/>
        </w:trPr>
        <w:tc>
          <w:tcPr>
            <w:tcW w:w="1809" w:type="dxa"/>
            <w:vMerge/>
            <w:shd w:val="clear" w:color="auto" w:fill="D9D9D9"/>
            <w:vAlign w:val="center"/>
          </w:tcPr>
          <w:p w:rsidR="00CB00DF" w:rsidRPr="0044115B" w:rsidRDefault="00CB00DF" w:rsidP="00CB00DF">
            <w:pPr>
              <w:spacing w:line="500" w:lineRule="exact"/>
              <w:jc w:val="center"/>
              <w:rPr>
                <w:rFonts w:ascii="Times New Roman" w:eastAsia="仿宋" w:hAnsi="Times New Roman"/>
                <w:kern w:val="0"/>
                <w:sz w:val="24"/>
                <w:szCs w:val="24"/>
                <w:bdr w:val="none" w:sz="0" w:space="0" w:color="auto" w:frame="1"/>
              </w:rPr>
            </w:pPr>
          </w:p>
        </w:tc>
        <w:tc>
          <w:tcPr>
            <w:tcW w:w="6949" w:type="dxa"/>
            <w:gridSpan w:val="2"/>
            <w:vAlign w:val="center"/>
          </w:tcPr>
          <w:p w:rsidR="00CB00DF" w:rsidRPr="0044115B" w:rsidRDefault="00CA2C00" w:rsidP="006908A4">
            <w:pPr>
              <w:spacing w:line="500" w:lineRule="exact"/>
              <w:rPr>
                <w:rFonts w:ascii="Times New Roman" w:eastAsia="仿宋" w:hAnsi="Times New Roman"/>
                <w:kern w:val="0"/>
                <w:sz w:val="24"/>
                <w:szCs w:val="24"/>
                <w:bdr w:val="none" w:sz="0" w:space="0" w:color="auto" w:frame="1"/>
              </w:rPr>
            </w:pPr>
            <w:r w:rsidRPr="0044115B">
              <w:rPr>
                <w:rFonts w:ascii="Times New Roman" w:eastAsia="仿宋" w:hAnsi="Times New Roman"/>
                <w:kern w:val="0"/>
                <w:sz w:val="24"/>
                <w:szCs w:val="24"/>
                <w:bdr w:val="none" w:sz="0" w:space="0" w:color="auto" w:frame="1"/>
              </w:rPr>
              <w:sym w:font="Wingdings" w:char="F0A8"/>
            </w:r>
            <w:r w:rsidR="00CB00DF" w:rsidRPr="0044115B">
              <w:rPr>
                <w:rFonts w:ascii="Times New Roman" w:eastAsia="仿宋" w:hAnsi="Times New Roman"/>
                <w:kern w:val="0"/>
                <w:sz w:val="24"/>
                <w:szCs w:val="24"/>
                <w:bdr w:val="none" w:sz="0" w:space="0" w:color="auto" w:frame="1"/>
              </w:rPr>
              <w:t>2.</w:t>
            </w:r>
            <w:r w:rsidR="00CB00DF" w:rsidRPr="0044115B">
              <w:rPr>
                <w:rFonts w:ascii="Times New Roman" w:eastAsia="仿宋" w:hAnsi="Times New Roman"/>
                <w:kern w:val="0"/>
                <w:sz w:val="24"/>
                <w:szCs w:val="24"/>
                <w:bdr w:val="none" w:sz="0" w:space="0" w:color="auto" w:frame="1"/>
              </w:rPr>
              <w:t>存在上下游关系的参与集中的经营者，在上下游市场所占的市场份额均小于</w:t>
            </w:r>
            <w:r w:rsidR="00CB00DF" w:rsidRPr="0044115B">
              <w:rPr>
                <w:rFonts w:ascii="Times New Roman" w:eastAsia="仿宋" w:hAnsi="Times New Roman"/>
                <w:kern w:val="0"/>
                <w:sz w:val="24"/>
                <w:szCs w:val="24"/>
                <w:bdr w:val="none" w:sz="0" w:space="0" w:color="auto" w:frame="1"/>
              </w:rPr>
              <w:t>25%</w:t>
            </w:r>
            <w:r w:rsidR="00CB00DF" w:rsidRPr="0044115B">
              <w:rPr>
                <w:rFonts w:ascii="Times New Roman" w:eastAsia="仿宋" w:hAnsi="Times New Roman"/>
                <w:kern w:val="0"/>
                <w:sz w:val="24"/>
                <w:szCs w:val="24"/>
                <w:bdr w:val="none" w:sz="0" w:space="0" w:color="auto" w:frame="1"/>
              </w:rPr>
              <w:t>。</w:t>
            </w:r>
          </w:p>
        </w:tc>
      </w:tr>
      <w:tr w:rsidR="002F3D52" w:rsidRPr="0044115B" w:rsidTr="00540581">
        <w:trPr>
          <w:trHeight w:val="285"/>
        </w:trPr>
        <w:tc>
          <w:tcPr>
            <w:tcW w:w="1809" w:type="dxa"/>
            <w:vMerge/>
            <w:shd w:val="clear" w:color="auto" w:fill="D9D9D9"/>
            <w:vAlign w:val="center"/>
          </w:tcPr>
          <w:p w:rsidR="00CB00DF" w:rsidRPr="0044115B" w:rsidRDefault="00CB00DF" w:rsidP="00CB00DF">
            <w:pPr>
              <w:spacing w:line="500" w:lineRule="exact"/>
              <w:jc w:val="center"/>
              <w:rPr>
                <w:rFonts w:ascii="Times New Roman" w:eastAsia="仿宋" w:hAnsi="Times New Roman"/>
                <w:kern w:val="0"/>
                <w:sz w:val="24"/>
                <w:szCs w:val="24"/>
                <w:bdr w:val="none" w:sz="0" w:space="0" w:color="auto" w:frame="1"/>
              </w:rPr>
            </w:pPr>
          </w:p>
        </w:tc>
        <w:tc>
          <w:tcPr>
            <w:tcW w:w="6949" w:type="dxa"/>
            <w:gridSpan w:val="2"/>
            <w:vAlign w:val="center"/>
          </w:tcPr>
          <w:p w:rsidR="00CB00DF" w:rsidRPr="0044115B" w:rsidRDefault="006F307C" w:rsidP="006908A4">
            <w:pPr>
              <w:spacing w:line="500" w:lineRule="exact"/>
              <w:rPr>
                <w:rFonts w:ascii="Times New Roman" w:eastAsia="仿宋" w:hAnsi="Times New Roman"/>
                <w:kern w:val="0"/>
                <w:sz w:val="24"/>
                <w:szCs w:val="24"/>
                <w:bdr w:val="none" w:sz="0" w:space="0" w:color="auto" w:frame="1"/>
              </w:rPr>
            </w:pPr>
            <w:r>
              <w:rPr>
                <w:rFonts w:ascii="Times New Roman" w:eastAsia="仿宋" w:hAnsi="Times New Roman"/>
                <w:kern w:val="0"/>
                <w:sz w:val="24"/>
                <w:szCs w:val="24"/>
                <w:bdr w:val="none" w:sz="0" w:space="0" w:color="auto" w:frame="1"/>
              </w:rPr>
              <w:sym w:font="Wingdings" w:char="F0A8"/>
            </w:r>
            <w:r w:rsidR="00CB00DF" w:rsidRPr="0044115B">
              <w:rPr>
                <w:rFonts w:ascii="Times New Roman" w:eastAsia="仿宋" w:hAnsi="Times New Roman"/>
                <w:kern w:val="0"/>
                <w:sz w:val="24"/>
                <w:szCs w:val="24"/>
                <w:bdr w:val="none" w:sz="0" w:space="0" w:color="auto" w:frame="1"/>
              </w:rPr>
              <w:t>3.</w:t>
            </w:r>
            <w:r w:rsidR="00CB00DF" w:rsidRPr="0044115B">
              <w:rPr>
                <w:rFonts w:ascii="Times New Roman" w:eastAsia="仿宋" w:hAnsi="Times New Roman"/>
                <w:kern w:val="0"/>
                <w:sz w:val="24"/>
                <w:szCs w:val="24"/>
                <w:bdr w:val="none" w:sz="0" w:space="0" w:color="auto" w:frame="1"/>
              </w:rPr>
              <w:t>不在同一相关市场、也不存在上下游关系的参与集中的经营者，在与交易有关的每个市场所占的份额均小于</w:t>
            </w:r>
            <w:r w:rsidR="00CB00DF" w:rsidRPr="0044115B">
              <w:rPr>
                <w:rFonts w:ascii="Times New Roman" w:eastAsia="仿宋" w:hAnsi="Times New Roman"/>
                <w:kern w:val="0"/>
                <w:sz w:val="24"/>
                <w:szCs w:val="24"/>
                <w:bdr w:val="none" w:sz="0" w:space="0" w:color="auto" w:frame="1"/>
              </w:rPr>
              <w:t>25%</w:t>
            </w:r>
            <w:r w:rsidR="00CB00DF" w:rsidRPr="0044115B">
              <w:rPr>
                <w:rFonts w:ascii="Times New Roman" w:eastAsia="仿宋" w:hAnsi="Times New Roman"/>
                <w:kern w:val="0"/>
                <w:sz w:val="24"/>
                <w:szCs w:val="24"/>
                <w:bdr w:val="none" w:sz="0" w:space="0" w:color="auto" w:frame="1"/>
              </w:rPr>
              <w:t>。</w:t>
            </w:r>
          </w:p>
        </w:tc>
      </w:tr>
      <w:tr w:rsidR="002F3D52" w:rsidRPr="0044115B" w:rsidTr="00540581">
        <w:trPr>
          <w:trHeight w:val="870"/>
        </w:trPr>
        <w:tc>
          <w:tcPr>
            <w:tcW w:w="1809" w:type="dxa"/>
            <w:vMerge/>
            <w:shd w:val="clear" w:color="auto" w:fill="D9D9D9"/>
            <w:vAlign w:val="center"/>
          </w:tcPr>
          <w:p w:rsidR="00CB00DF" w:rsidRPr="0044115B" w:rsidRDefault="00CB00DF" w:rsidP="00CB00DF">
            <w:pPr>
              <w:spacing w:line="500" w:lineRule="exact"/>
              <w:jc w:val="center"/>
              <w:rPr>
                <w:rFonts w:ascii="Times New Roman" w:eastAsia="仿宋" w:hAnsi="Times New Roman"/>
                <w:kern w:val="0"/>
                <w:sz w:val="24"/>
                <w:szCs w:val="24"/>
                <w:bdr w:val="none" w:sz="0" w:space="0" w:color="auto" w:frame="1"/>
              </w:rPr>
            </w:pPr>
          </w:p>
        </w:tc>
        <w:tc>
          <w:tcPr>
            <w:tcW w:w="6949" w:type="dxa"/>
            <w:gridSpan w:val="2"/>
            <w:vAlign w:val="center"/>
          </w:tcPr>
          <w:p w:rsidR="00CB00DF" w:rsidRPr="0044115B" w:rsidRDefault="00BA4778" w:rsidP="006908A4">
            <w:pPr>
              <w:spacing w:line="500" w:lineRule="exact"/>
              <w:rPr>
                <w:rFonts w:ascii="Times New Roman" w:eastAsia="仿宋" w:hAnsi="Times New Roman"/>
                <w:kern w:val="0"/>
                <w:sz w:val="24"/>
                <w:szCs w:val="24"/>
                <w:bdr w:val="none" w:sz="0" w:space="0" w:color="auto" w:frame="1"/>
              </w:rPr>
            </w:pPr>
            <w:r w:rsidRPr="0044115B">
              <w:rPr>
                <w:rFonts w:ascii="Times New Roman" w:eastAsia="仿宋" w:hAnsi="Times New Roman"/>
                <w:kern w:val="0"/>
                <w:sz w:val="24"/>
                <w:szCs w:val="24"/>
                <w:bdr w:val="none" w:sz="0" w:space="0" w:color="auto" w:frame="1"/>
              </w:rPr>
              <w:t>□</w:t>
            </w:r>
            <w:r w:rsidR="00CB00DF" w:rsidRPr="0044115B">
              <w:rPr>
                <w:rFonts w:ascii="Times New Roman" w:eastAsia="仿宋" w:hAnsi="Times New Roman"/>
                <w:kern w:val="0"/>
                <w:sz w:val="24"/>
                <w:szCs w:val="24"/>
                <w:bdr w:val="none" w:sz="0" w:space="0" w:color="auto" w:frame="1"/>
              </w:rPr>
              <w:t>4.</w:t>
            </w:r>
            <w:r w:rsidR="00CB00DF" w:rsidRPr="0044115B">
              <w:rPr>
                <w:rFonts w:ascii="Times New Roman" w:eastAsia="仿宋" w:hAnsi="Times New Roman"/>
                <w:kern w:val="0"/>
                <w:sz w:val="24"/>
                <w:szCs w:val="24"/>
                <w:bdr w:val="none" w:sz="0" w:space="0" w:color="auto" w:frame="1"/>
              </w:rPr>
              <w:t>参与集中的经营者在中国境外设立合营企业，合营企业不在中国境内从事经济活动。</w:t>
            </w:r>
          </w:p>
        </w:tc>
      </w:tr>
      <w:tr w:rsidR="002F3D52" w:rsidRPr="0044115B" w:rsidTr="00540581">
        <w:trPr>
          <w:trHeight w:val="264"/>
        </w:trPr>
        <w:tc>
          <w:tcPr>
            <w:tcW w:w="1809" w:type="dxa"/>
            <w:vMerge/>
            <w:shd w:val="clear" w:color="auto" w:fill="D9D9D9"/>
            <w:vAlign w:val="center"/>
          </w:tcPr>
          <w:p w:rsidR="00CB00DF" w:rsidRPr="0044115B" w:rsidRDefault="00CB00DF" w:rsidP="00CB00DF">
            <w:pPr>
              <w:spacing w:line="500" w:lineRule="exact"/>
              <w:jc w:val="center"/>
              <w:rPr>
                <w:rFonts w:ascii="Times New Roman" w:eastAsia="仿宋" w:hAnsi="Times New Roman"/>
                <w:kern w:val="0"/>
                <w:sz w:val="24"/>
                <w:szCs w:val="24"/>
                <w:bdr w:val="none" w:sz="0" w:space="0" w:color="auto" w:frame="1"/>
              </w:rPr>
            </w:pPr>
          </w:p>
        </w:tc>
        <w:tc>
          <w:tcPr>
            <w:tcW w:w="6949" w:type="dxa"/>
            <w:gridSpan w:val="2"/>
            <w:vAlign w:val="center"/>
          </w:tcPr>
          <w:p w:rsidR="00CB00DF" w:rsidRPr="0044115B" w:rsidRDefault="00CB00DF" w:rsidP="006908A4">
            <w:pPr>
              <w:spacing w:line="500" w:lineRule="exact"/>
              <w:rPr>
                <w:rFonts w:ascii="Times New Roman" w:eastAsia="仿宋" w:hAnsi="Times New Roman"/>
                <w:kern w:val="0"/>
                <w:sz w:val="24"/>
                <w:szCs w:val="24"/>
                <w:bdr w:val="none" w:sz="0" w:space="0" w:color="auto" w:frame="1"/>
              </w:rPr>
            </w:pPr>
            <w:r w:rsidRPr="0044115B">
              <w:rPr>
                <w:rFonts w:ascii="Times New Roman" w:eastAsia="仿宋" w:hAnsi="Times New Roman"/>
                <w:kern w:val="0"/>
                <w:sz w:val="24"/>
                <w:szCs w:val="24"/>
                <w:bdr w:val="none" w:sz="0" w:space="0" w:color="auto" w:frame="1"/>
              </w:rPr>
              <w:t>□5.</w:t>
            </w:r>
            <w:r w:rsidRPr="0044115B">
              <w:rPr>
                <w:rFonts w:ascii="Times New Roman" w:eastAsia="仿宋" w:hAnsi="Times New Roman"/>
                <w:kern w:val="0"/>
                <w:sz w:val="24"/>
                <w:szCs w:val="24"/>
                <w:bdr w:val="none" w:sz="0" w:space="0" w:color="auto" w:frame="1"/>
              </w:rPr>
              <w:t>参与集中的经营者收购境外企业股权或资产的，该境外企业不在中国境内从事经济活动。</w:t>
            </w:r>
          </w:p>
        </w:tc>
      </w:tr>
      <w:tr w:rsidR="002F3D52" w:rsidRPr="0044115B" w:rsidTr="00540581">
        <w:trPr>
          <w:trHeight w:val="345"/>
        </w:trPr>
        <w:tc>
          <w:tcPr>
            <w:tcW w:w="1809" w:type="dxa"/>
            <w:vMerge/>
            <w:shd w:val="clear" w:color="auto" w:fill="D9D9D9"/>
            <w:vAlign w:val="center"/>
          </w:tcPr>
          <w:p w:rsidR="00CB00DF" w:rsidRPr="0044115B" w:rsidRDefault="00CB00DF" w:rsidP="00CB00DF">
            <w:pPr>
              <w:spacing w:line="500" w:lineRule="exact"/>
              <w:jc w:val="center"/>
              <w:rPr>
                <w:rFonts w:ascii="Times New Roman" w:eastAsia="仿宋" w:hAnsi="Times New Roman"/>
                <w:kern w:val="0"/>
                <w:sz w:val="24"/>
                <w:szCs w:val="24"/>
                <w:bdr w:val="none" w:sz="0" w:space="0" w:color="auto" w:frame="1"/>
              </w:rPr>
            </w:pPr>
          </w:p>
        </w:tc>
        <w:tc>
          <w:tcPr>
            <w:tcW w:w="6949" w:type="dxa"/>
            <w:gridSpan w:val="2"/>
            <w:vAlign w:val="center"/>
          </w:tcPr>
          <w:p w:rsidR="00CB00DF" w:rsidRPr="0044115B" w:rsidRDefault="00CB00DF" w:rsidP="006908A4">
            <w:pPr>
              <w:spacing w:line="500" w:lineRule="exact"/>
              <w:rPr>
                <w:rFonts w:ascii="Times New Roman" w:eastAsia="仿宋" w:hAnsi="Times New Roman"/>
                <w:kern w:val="0"/>
                <w:sz w:val="24"/>
                <w:szCs w:val="24"/>
                <w:bdr w:val="none" w:sz="0" w:space="0" w:color="auto" w:frame="1"/>
              </w:rPr>
            </w:pPr>
            <w:r w:rsidRPr="0044115B">
              <w:rPr>
                <w:rFonts w:ascii="Times New Roman" w:eastAsia="仿宋" w:hAnsi="Times New Roman"/>
                <w:kern w:val="0"/>
                <w:sz w:val="24"/>
                <w:szCs w:val="24"/>
                <w:bdr w:val="none" w:sz="0" w:space="0" w:color="auto" w:frame="1"/>
              </w:rPr>
              <w:t>□6.</w:t>
            </w:r>
            <w:r w:rsidRPr="0044115B">
              <w:rPr>
                <w:rFonts w:ascii="Times New Roman" w:eastAsia="仿宋" w:hAnsi="Times New Roman"/>
                <w:kern w:val="0"/>
                <w:sz w:val="24"/>
                <w:szCs w:val="24"/>
                <w:bdr w:val="none" w:sz="0" w:space="0" w:color="auto" w:frame="1"/>
              </w:rPr>
              <w:t>由两个以上的经营者共同控制的合营企业，通过集中被其中一个或一个以上经营者控制。</w:t>
            </w:r>
          </w:p>
        </w:tc>
      </w:tr>
      <w:tr w:rsidR="002F3D52" w:rsidRPr="0044115B" w:rsidTr="00CB00DF">
        <w:tc>
          <w:tcPr>
            <w:tcW w:w="1809" w:type="dxa"/>
            <w:shd w:val="clear" w:color="auto" w:fill="D9D9D9"/>
            <w:vAlign w:val="center"/>
          </w:tcPr>
          <w:p w:rsidR="00CB00DF" w:rsidRPr="0044115B" w:rsidRDefault="00CB00DF" w:rsidP="00CB00DF">
            <w:pPr>
              <w:spacing w:line="500" w:lineRule="exact"/>
              <w:jc w:val="center"/>
              <w:rPr>
                <w:rFonts w:ascii="Times New Roman" w:eastAsia="仿宋" w:hAnsi="Times New Roman"/>
                <w:kern w:val="0"/>
                <w:sz w:val="24"/>
                <w:szCs w:val="24"/>
                <w:bdr w:val="none" w:sz="0" w:space="0" w:color="auto" w:frame="1"/>
              </w:rPr>
            </w:pPr>
            <w:r w:rsidRPr="0044115B">
              <w:rPr>
                <w:rFonts w:ascii="Times New Roman" w:eastAsia="仿宋" w:hAnsi="Times New Roman"/>
                <w:kern w:val="0"/>
                <w:sz w:val="24"/>
                <w:szCs w:val="24"/>
                <w:bdr w:val="none" w:sz="0" w:space="0" w:color="auto" w:frame="1"/>
              </w:rPr>
              <w:t>备注</w:t>
            </w:r>
          </w:p>
        </w:tc>
        <w:tc>
          <w:tcPr>
            <w:tcW w:w="6949" w:type="dxa"/>
            <w:gridSpan w:val="2"/>
          </w:tcPr>
          <w:p w:rsidR="009216CE" w:rsidRDefault="006F307C" w:rsidP="00CA2C00">
            <w:pPr>
              <w:spacing w:line="500" w:lineRule="exact"/>
              <w:rPr>
                <w:rFonts w:ascii="Times New Roman" w:eastAsia="仿宋" w:hAnsi="Times New Roman"/>
                <w:sz w:val="24"/>
                <w:szCs w:val="24"/>
              </w:rPr>
            </w:pPr>
            <w:r>
              <w:rPr>
                <w:rFonts w:ascii="Times New Roman" w:eastAsia="仿宋" w:hAnsi="Times New Roman" w:hint="eastAsia"/>
                <w:b/>
                <w:color w:val="000000"/>
                <w:kern w:val="0"/>
                <w:sz w:val="24"/>
                <w:szCs w:val="24"/>
                <w:u w:val="single"/>
              </w:rPr>
              <w:t>相关市场：中国</w:t>
            </w:r>
            <w:r w:rsidRPr="009E2FD9">
              <w:rPr>
                <w:rFonts w:ascii="Times New Roman" w:eastAsia="仿宋" w:hAnsi="Times New Roman"/>
                <w:b/>
                <w:color w:val="000000"/>
                <w:kern w:val="0"/>
                <w:sz w:val="24"/>
                <w:szCs w:val="24"/>
                <w:u w:val="single"/>
              </w:rPr>
              <w:t>网络安全产品市场</w:t>
            </w:r>
          </w:p>
          <w:p w:rsidR="006F307C" w:rsidRDefault="006F307C" w:rsidP="00CA2C00">
            <w:pPr>
              <w:spacing w:line="500" w:lineRule="exact"/>
              <w:rPr>
                <w:rFonts w:ascii="Times New Roman" w:eastAsia="仿宋" w:hAnsi="Times New Roman"/>
                <w:sz w:val="24"/>
                <w:szCs w:val="24"/>
              </w:rPr>
            </w:pPr>
            <w:r>
              <w:rPr>
                <w:rFonts w:ascii="Times New Roman" w:eastAsia="仿宋" w:hAnsi="Times New Roman" w:hint="eastAsia"/>
                <w:sz w:val="24"/>
                <w:szCs w:val="24"/>
              </w:rPr>
              <w:t>1</w:t>
            </w:r>
            <w:r>
              <w:rPr>
                <w:rFonts w:ascii="Times New Roman" w:eastAsia="仿宋" w:hAnsi="Times New Roman" w:hint="eastAsia"/>
                <w:sz w:val="24"/>
                <w:szCs w:val="24"/>
              </w:rPr>
              <w:t>、奇安信：</w:t>
            </w:r>
            <w:r>
              <w:rPr>
                <w:rFonts w:ascii="Times New Roman" w:eastAsia="仿宋" w:hAnsi="Times New Roman" w:hint="eastAsia"/>
                <w:sz w:val="24"/>
                <w:szCs w:val="24"/>
              </w:rPr>
              <w:t>[</w:t>
            </w:r>
            <w:r>
              <w:rPr>
                <w:rFonts w:ascii="Times New Roman" w:eastAsia="仿宋" w:hAnsi="Times New Roman"/>
                <w:sz w:val="24"/>
                <w:szCs w:val="24"/>
              </w:rPr>
              <w:t>10-15</w:t>
            </w:r>
            <w:r>
              <w:rPr>
                <w:rFonts w:ascii="Times New Roman" w:eastAsia="仿宋" w:hAnsi="Times New Roman" w:hint="eastAsia"/>
                <w:sz w:val="24"/>
                <w:szCs w:val="24"/>
              </w:rPr>
              <w:t>]</w:t>
            </w:r>
            <w:r>
              <w:rPr>
                <w:rFonts w:ascii="Times New Roman" w:eastAsia="仿宋" w:hAnsi="Times New Roman"/>
                <w:sz w:val="24"/>
                <w:szCs w:val="24"/>
              </w:rPr>
              <w:t>%</w:t>
            </w:r>
          </w:p>
          <w:p w:rsidR="006F307C" w:rsidRDefault="006F307C" w:rsidP="00CA2C00">
            <w:pPr>
              <w:spacing w:line="500" w:lineRule="exact"/>
              <w:rPr>
                <w:rFonts w:ascii="Times New Roman" w:eastAsia="仿宋" w:hAnsi="Times New Roman"/>
                <w:sz w:val="24"/>
                <w:szCs w:val="24"/>
              </w:rPr>
            </w:pPr>
            <w:r>
              <w:rPr>
                <w:rFonts w:ascii="Times New Roman" w:eastAsia="仿宋" w:hAnsi="Times New Roman"/>
                <w:sz w:val="24"/>
                <w:szCs w:val="24"/>
              </w:rPr>
              <w:t>2</w:t>
            </w:r>
            <w:r>
              <w:rPr>
                <w:rFonts w:ascii="Times New Roman" w:eastAsia="仿宋" w:hAnsi="Times New Roman" w:hint="eastAsia"/>
                <w:sz w:val="24"/>
                <w:szCs w:val="24"/>
              </w:rPr>
              <w:t>、联通系统集成：</w:t>
            </w:r>
            <w:r>
              <w:rPr>
                <w:rFonts w:ascii="Times New Roman" w:eastAsia="仿宋" w:hAnsi="Times New Roman" w:hint="eastAsia"/>
                <w:sz w:val="24"/>
                <w:szCs w:val="24"/>
              </w:rPr>
              <w:t>[</w:t>
            </w:r>
            <w:r>
              <w:rPr>
                <w:rFonts w:ascii="Times New Roman" w:eastAsia="仿宋" w:hAnsi="Times New Roman"/>
                <w:sz w:val="24"/>
                <w:szCs w:val="24"/>
              </w:rPr>
              <w:t>0-5</w:t>
            </w:r>
            <w:r>
              <w:rPr>
                <w:rFonts w:ascii="Times New Roman" w:eastAsia="仿宋" w:hAnsi="Times New Roman" w:hint="eastAsia"/>
                <w:sz w:val="24"/>
                <w:szCs w:val="24"/>
              </w:rPr>
              <w:t>]</w:t>
            </w:r>
            <w:r>
              <w:rPr>
                <w:rFonts w:ascii="Times New Roman" w:eastAsia="仿宋" w:hAnsi="Times New Roman"/>
                <w:sz w:val="24"/>
                <w:szCs w:val="24"/>
              </w:rPr>
              <w:t>%</w:t>
            </w:r>
          </w:p>
          <w:p w:rsidR="006F307C" w:rsidRPr="0044115B" w:rsidRDefault="006F307C" w:rsidP="00CA2C00">
            <w:pPr>
              <w:spacing w:line="500" w:lineRule="exact"/>
              <w:rPr>
                <w:rFonts w:ascii="Times New Roman" w:eastAsia="仿宋" w:hAnsi="Times New Roman"/>
                <w:sz w:val="24"/>
                <w:szCs w:val="24"/>
              </w:rPr>
            </w:pPr>
            <w:r>
              <w:rPr>
                <w:rFonts w:ascii="Times New Roman" w:eastAsia="仿宋" w:hAnsi="Times New Roman"/>
                <w:sz w:val="24"/>
                <w:szCs w:val="24"/>
              </w:rPr>
              <w:t>3</w:t>
            </w:r>
            <w:r>
              <w:rPr>
                <w:rFonts w:ascii="Times New Roman" w:eastAsia="仿宋" w:hAnsi="Times New Roman" w:hint="eastAsia"/>
                <w:sz w:val="24"/>
                <w:szCs w:val="24"/>
              </w:rPr>
              <w:t>、合营企业：</w:t>
            </w:r>
            <w:r>
              <w:rPr>
                <w:rFonts w:ascii="Times New Roman" w:eastAsia="仿宋" w:hAnsi="Times New Roman" w:hint="eastAsia"/>
                <w:sz w:val="24"/>
                <w:szCs w:val="24"/>
              </w:rPr>
              <w:t>[</w:t>
            </w:r>
            <w:r>
              <w:rPr>
                <w:rFonts w:ascii="Times New Roman" w:eastAsia="仿宋" w:hAnsi="Times New Roman"/>
                <w:sz w:val="24"/>
                <w:szCs w:val="24"/>
              </w:rPr>
              <w:t>0-5</w:t>
            </w:r>
            <w:r>
              <w:rPr>
                <w:rFonts w:ascii="Times New Roman" w:eastAsia="仿宋" w:hAnsi="Times New Roman" w:hint="eastAsia"/>
                <w:sz w:val="24"/>
                <w:szCs w:val="24"/>
              </w:rPr>
              <w:t>]</w:t>
            </w:r>
            <w:r>
              <w:rPr>
                <w:rFonts w:ascii="Times New Roman" w:eastAsia="仿宋" w:hAnsi="Times New Roman"/>
                <w:sz w:val="24"/>
                <w:szCs w:val="24"/>
              </w:rPr>
              <w:t>%</w:t>
            </w:r>
          </w:p>
          <w:p w:rsidR="00CA2C00" w:rsidRPr="0044115B" w:rsidRDefault="00CA2C00" w:rsidP="00CA2C00">
            <w:pPr>
              <w:spacing w:line="500" w:lineRule="exact"/>
              <w:rPr>
                <w:rFonts w:ascii="Times New Roman" w:eastAsia="仿宋" w:hAnsi="Times New Roman"/>
                <w:b/>
                <w:sz w:val="24"/>
                <w:szCs w:val="24"/>
                <w:u w:val="single"/>
              </w:rPr>
            </w:pPr>
          </w:p>
        </w:tc>
      </w:tr>
    </w:tbl>
    <w:p w:rsidR="00CB00DF" w:rsidRPr="0044115B" w:rsidRDefault="00CB00DF" w:rsidP="00CB00DF">
      <w:pPr>
        <w:snapToGrid w:val="0"/>
        <w:spacing w:line="240" w:lineRule="exact"/>
        <w:jc w:val="left"/>
        <w:rPr>
          <w:rFonts w:ascii="Times New Roman" w:eastAsia="仿宋" w:hAnsi="Times New Roman"/>
          <w:sz w:val="24"/>
          <w:szCs w:val="24"/>
        </w:rPr>
      </w:pPr>
    </w:p>
    <w:p w:rsidR="00CB00DF" w:rsidRPr="0044115B" w:rsidRDefault="00CB00DF" w:rsidP="00CB00DF">
      <w:pPr>
        <w:snapToGrid w:val="0"/>
        <w:spacing w:line="240" w:lineRule="exact"/>
        <w:jc w:val="left"/>
        <w:rPr>
          <w:rFonts w:ascii="Times New Roman" w:eastAsia="仿宋" w:hAnsi="Times New Roman"/>
          <w:sz w:val="24"/>
          <w:szCs w:val="24"/>
        </w:rPr>
      </w:pPr>
      <w:r w:rsidRPr="0044115B">
        <w:rPr>
          <w:rFonts w:ascii="Times New Roman" w:eastAsia="仿宋" w:hAnsi="Times New Roman"/>
          <w:sz w:val="24"/>
          <w:szCs w:val="24"/>
        </w:rPr>
        <w:t>注解：</w:t>
      </w:r>
    </w:p>
    <w:p w:rsidR="00CB00DF" w:rsidRPr="0044115B" w:rsidRDefault="00CB00DF" w:rsidP="00CB00DF">
      <w:pPr>
        <w:snapToGrid w:val="0"/>
        <w:spacing w:line="360" w:lineRule="auto"/>
        <w:ind w:firstLineChars="200" w:firstLine="480"/>
        <w:jc w:val="left"/>
        <w:rPr>
          <w:rFonts w:ascii="Times New Roman" w:eastAsia="仿宋" w:hAnsi="Times New Roman"/>
          <w:sz w:val="24"/>
          <w:szCs w:val="24"/>
        </w:rPr>
      </w:pPr>
      <w:r w:rsidRPr="0044115B">
        <w:rPr>
          <w:rFonts w:ascii="Times New Roman" w:eastAsia="仿宋" w:hAnsi="Times New Roman"/>
          <w:sz w:val="24"/>
          <w:szCs w:val="24"/>
        </w:rPr>
        <w:t>1.</w:t>
      </w:r>
      <w:r w:rsidRPr="0044115B">
        <w:rPr>
          <w:rFonts w:ascii="Times New Roman" w:eastAsia="仿宋" w:hAnsi="Times New Roman"/>
          <w:sz w:val="24"/>
          <w:szCs w:val="24"/>
        </w:rPr>
        <w:t>申报方申请简易案件的理由是基于</w:t>
      </w:r>
      <w:r w:rsidRPr="0044115B">
        <w:rPr>
          <w:rFonts w:ascii="Times New Roman" w:eastAsia="仿宋" w:hAnsi="Times New Roman"/>
          <w:sz w:val="24"/>
          <w:szCs w:val="24"/>
        </w:rPr>
        <w:t>1-3</w:t>
      </w:r>
      <w:r w:rsidRPr="0044115B">
        <w:rPr>
          <w:rFonts w:ascii="Times New Roman" w:eastAsia="仿宋" w:hAnsi="Times New Roman"/>
          <w:sz w:val="24"/>
          <w:szCs w:val="24"/>
        </w:rPr>
        <w:t>项时，须在备注中说明界定的相关商品市场和相关地域市场（无须阐述界定理由），以及相关市场份额；市场份额可以区间形式提供，区间幅度不应超过</w:t>
      </w:r>
      <w:r w:rsidRPr="0044115B">
        <w:rPr>
          <w:rFonts w:ascii="Times New Roman" w:eastAsia="仿宋" w:hAnsi="Times New Roman"/>
          <w:sz w:val="24"/>
          <w:szCs w:val="24"/>
        </w:rPr>
        <w:t>5%</w:t>
      </w:r>
      <w:r w:rsidRPr="0044115B">
        <w:rPr>
          <w:rFonts w:ascii="Times New Roman" w:eastAsia="仿宋" w:hAnsi="Times New Roman"/>
          <w:sz w:val="24"/>
          <w:szCs w:val="24"/>
        </w:rPr>
        <w:t>。</w:t>
      </w:r>
      <w:r w:rsidRPr="0044115B">
        <w:rPr>
          <w:rFonts w:ascii="Times New Roman" w:eastAsia="仿宋" w:hAnsi="Times New Roman"/>
          <w:sz w:val="24"/>
          <w:szCs w:val="24"/>
        </w:rPr>
        <w:t>1-3</w:t>
      </w:r>
      <w:r w:rsidRPr="0044115B">
        <w:rPr>
          <w:rFonts w:ascii="Times New Roman" w:eastAsia="仿宋" w:hAnsi="Times New Roman"/>
          <w:sz w:val="24"/>
          <w:szCs w:val="24"/>
        </w:rPr>
        <w:t>项可以多选，也可单选；没有勾选的，视为本集中不涉及该类型交易。</w:t>
      </w:r>
    </w:p>
    <w:p w:rsidR="00CB00DF" w:rsidRPr="0044115B" w:rsidRDefault="00CB00DF" w:rsidP="00CB00DF">
      <w:pPr>
        <w:spacing w:line="360" w:lineRule="auto"/>
        <w:ind w:firstLineChars="200" w:firstLine="480"/>
        <w:rPr>
          <w:rFonts w:ascii="Times New Roman" w:eastAsia="仿宋" w:hAnsi="Times New Roman"/>
          <w:sz w:val="24"/>
          <w:szCs w:val="24"/>
        </w:rPr>
      </w:pPr>
      <w:r w:rsidRPr="0044115B">
        <w:rPr>
          <w:rFonts w:ascii="Times New Roman" w:eastAsia="仿宋" w:hAnsi="Times New Roman"/>
          <w:sz w:val="24"/>
          <w:szCs w:val="24"/>
        </w:rPr>
        <w:t>2.</w:t>
      </w:r>
      <w:r w:rsidRPr="0044115B">
        <w:rPr>
          <w:rFonts w:ascii="Times New Roman" w:eastAsia="仿宋" w:hAnsi="Times New Roman"/>
          <w:sz w:val="24"/>
          <w:szCs w:val="24"/>
        </w:rPr>
        <w:t>申报方申请简易案件的理由是基于第</w:t>
      </w:r>
      <w:r w:rsidRPr="0044115B">
        <w:rPr>
          <w:rFonts w:ascii="Times New Roman" w:eastAsia="仿宋" w:hAnsi="Times New Roman"/>
          <w:sz w:val="24"/>
          <w:szCs w:val="24"/>
        </w:rPr>
        <w:t>4</w:t>
      </w:r>
      <w:r w:rsidRPr="0044115B">
        <w:rPr>
          <w:rFonts w:ascii="Times New Roman" w:eastAsia="仿宋" w:hAnsi="Times New Roman"/>
          <w:sz w:val="24"/>
          <w:szCs w:val="24"/>
        </w:rPr>
        <w:t>项、第</w:t>
      </w:r>
      <w:r w:rsidRPr="0044115B">
        <w:rPr>
          <w:rFonts w:ascii="Times New Roman" w:eastAsia="仿宋" w:hAnsi="Times New Roman"/>
          <w:sz w:val="24"/>
          <w:szCs w:val="24"/>
        </w:rPr>
        <w:t>5</w:t>
      </w:r>
      <w:r w:rsidRPr="0044115B">
        <w:rPr>
          <w:rFonts w:ascii="Times New Roman" w:eastAsia="仿宋" w:hAnsi="Times New Roman"/>
          <w:sz w:val="24"/>
          <w:szCs w:val="24"/>
        </w:rPr>
        <w:t>项时，无须在备注中说明相关市场和市场份额。</w:t>
      </w:r>
      <w:r w:rsidRPr="0044115B">
        <w:rPr>
          <w:rFonts w:ascii="Times New Roman" w:eastAsia="仿宋" w:hAnsi="Times New Roman"/>
          <w:sz w:val="24"/>
          <w:szCs w:val="24"/>
        </w:rPr>
        <w:br/>
        <w:t xml:space="preserve">    3.</w:t>
      </w:r>
      <w:r w:rsidRPr="0044115B">
        <w:rPr>
          <w:rFonts w:ascii="Times New Roman" w:eastAsia="仿宋" w:hAnsi="Times New Roman"/>
          <w:sz w:val="24"/>
          <w:szCs w:val="24"/>
        </w:rPr>
        <w:t>由两个或两个以上经营者共同控制的合营企业，通过集中被其中的一个经营者控制，如果该经营者与合营企业属于同一相关市场的竞争者，则申报方在申请简易案件时，须同时勾选第</w:t>
      </w:r>
      <w:r w:rsidRPr="0044115B">
        <w:rPr>
          <w:rFonts w:ascii="Times New Roman" w:eastAsia="仿宋" w:hAnsi="Times New Roman"/>
          <w:sz w:val="24"/>
          <w:szCs w:val="24"/>
        </w:rPr>
        <w:t>1</w:t>
      </w:r>
      <w:r w:rsidRPr="0044115B">
        <w:rPr>
          <w:rFonts w:ascii="Times New Roman" w:eastAsia="仿宋" w:hAnsi="Times New Roman"/>
          <w:sz w:val="24"/>
          <w:szCs w:val="24"/>
        </w:rPr>
        <w:t>项和第</w:t>
      </w:r>
      <w:r w:rsidRPr="0044115B">
        <w:rPr>
          <w:rFonts w:ascii="Times New Roman" w:eastAsia="仿宋" w:hAnsi="Times New Roman"/>
          <w:sz w:val="24"/>
          <w:szCs w:val="24"/>
        </w:rPr>
        <w:t>6</w:t>
      </w:r>
      <w:r w:rsidRPr="0044115B">
        <w:rPr>
          <w:rFonts w:ascii="Times New Roman" w:eastAsia="仿宋" w:hAnsi="Times New Roman"/>
          <w:sz w:val="24"/>
          <w:szCs w:val="24"/>
        </w:rPr>
        <w:t>项理由，并在备注中说明界定的相关商品市场和相关地域市场（无须阐述界定理由），以及相关市场份额。市场份额可以区间形式提供，区间幅度不应超过</w:t>
      </w:r>
      <w:r w:rsidRPr="0044115B">
        <w:rPr>
          <w:rFonts w:ascii="Times New Roman" w:eastAsia="仿宋" w:hAnsi="Times New Roman"/>
          <w:sz w:val="24"/>
          <w:szCs w:val="24"/>
        </w:rPr>
        <w:t>5%</w:t>
      </w:r>
      <w:r w:rsidRPr="0044115B">
        <w:rPr>
          <w:rFonts w:ascii="Times New Roman" w:eastAsia="仿宋" w:hAnsi="Times New Roman"/>
          <w:sz w:val="24"/>
          <w:szCs w:val="24"/>
        </w:rPr>
        <w:t>。</w:t>
      </w:r>
    </w:p>
    <w:p w:rsidR="00CB00DF" w:rsidRPr="0044115B" w:rsidRDefault="00CB00DF" w:rsidP="00CB00DF">
      <w:pPr>
        <w:rPr>
          <w:rFonts w:ascii="Times New Roman" w:eastAsia="仿宋" w:hAnsi="Times New Roman"/>
          <w:sz w:val="24"/>
          <w:szCs w:val="24"/>
        </w:rPr>
      </w:pPr>
    </w:p>
    <w:p w:rsidR="000F5E24" w:rsidRPr="0044115B" w:rsidRDefault="00373DDA">
      <w:pPr>
        <w:rPr>
          <w:rFonts w:ascii="Times New Roman" w:eastAsia="仿宋" w:hAnsi="Times New Roman"/>
          <w:sz w:val="24"/>
          <w:szCs w:val="24"/>
        </w:rPr>
      </w:pPr>
    </w:p>
    <w:sectPr w:rsidR="000F5E24" w:rsidRPr="0044115B" w:rsidSect="00ED21B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33332" w:rsidRDefault="00E33332" w:rsidP="007703E0">
      <w:r>
        <w:separator/>
      </w:r>
    </w:p>
  </w:endnote>
  <w:endnote w:type="continuationSeparator" w:id="1">
    <w:p w:rsidR="00E33332" w:rsidRDefault="00E33332" w:rsidP="007703E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00000000"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
    <w:altName w:val="Arial Unicode MS"/>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altName w:val="Arial Unicode MS"/>
    <w:charset w:val="86"/>
    <w:family w:val="auto"/>
    <w:pitch w:val="variable"/>
    <w:sig w:usb0="00000000"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33332" w:rsidRDefault="00E33332" w:rsidP="007703E0">
      <w:r>
        <w:separator/>
      </w:r>
    </w:p>
  </w:footnote>
  <w:footnote w:type="continuationSeparator" w:id="1">
    <w:p w:rsidR="00E33332" w:rsidRDefault="00E33332" w:rsidP="007703E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92727A9"/>
    <w:multiLevelType w:val="hybridMultilevel"/>
    <w:tmpl w:val="5E9292B2"/>
    <w:lvl w:ilvl="0" w:tplc="B9D84D8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4337"/>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B00DF"/>
    <w:rsid w:val="00037065"/>
    <w:rsid w:val="00071BFC"/>
    <w:rsid w:val="000D7EBA"/>
    <w:rsid w:val="001164CD"/>
    <w:rsid w:val="00155717"/>
    <w:rsid w:val="001837A3"/>
    <w:rsid w:val="00213BCA"/>
    <w:rsid w:val="002F3D52"/>
    <w:rsid w:val="00300479"/>
    <w:rsid w:val="003166E5"/>
    <w:rsid w:val="003578D8"/>
    <w:rsid w:val="00373DDA"/>
    <w:rsid w:val="00397794"/>
    <w:rsid w:val="003C0AEB"/>
    <w:rsid w:val="0044115B"/>
    <w:rsid w:val="004F431A"/>
    <w:rsid w:val="004F7688"/>
    <w:rsid w:val="00533330"/>
    <w:rsid w:val="00540581"/>
    <w:rsid w:val="00544AE7"/>
    <w:rsid w:val="00561070"/>
    <w:rsid w:val="005E19F4"/>
    <w:rsid w:val="006467D8"/>
    <w:rsid w:val="006737E4"/>
    <w:rsid w:val="006A531B"/>
    <w:rsid w:val="006F307C"/>
    <w:rsid w:val="006F7693"/>
    <w:rsid w:val="00710140"/>
    <w:rsid w:val="007327A7"/>
    <w:rsid w:val="007703E0"/>
    <w:rsid w:val="007B6176"/>
    <w:rsid w:val="007F2275"/>
    <w:rsid w:val="008350F4"/>
    <w:rsid w:val="008E1DBF"/>
    <w:rsid w:val="00915F0F"/>
    <w:rsid w:val="009216CE"/>
    <w:rsid w:val="009221E2"/>
    <w:rsid w:val="009532DF"/>
    <w:rsid w:val="00975C84"/>
    <w:rsid w:val="00997019"/>
    <w:rsid w:val="009A5029"/>
    <w:rsid w:val="009D38D5"/>
    <w:rsid w:val="009D5152"/>
    <w:rsid w:val="00A53F26"/>
    <w:rsid w:val="00A8399C"/>
    <w:rsid w:val="00AA0CC5"/>
    <w:rsid w:val="00B16AFE"/>
    <w:rsid w:val="00B65DD5"/>
    <w:rsid w:val="00BA4778"/>
    <w:rsid w:val="00BD10B6"/>
    <w:rsid w:val="00C07076"/>
    <w:rsid w:val="00CA2C00"/>
    <w:rsid w:val="00CB00DF"/>
    <w:rsid w:val="00CB2271"/>
    <w:rsid w:val="00D434CD"/>
    <w:rsid w:val="00D56F4A"/>
    <w:rsid w:val="00D73C72"/>
    <w:rsid w:val="00E00ACB"/>
    <w:rsid w:val="00E0592B"/>
    <w:rsid w:val="00E21D54"/>
    <w:rsid w:val="00E31738"/>
    <w:rsid w:val="00E33332"/>
    <w:rsid w:val="00E86786"/>
    <w:rsid w:val="00E9290E"/>
    <w:rsid w:val="00EC1743"/>
    <w:rsid w:val="00ED2F80"/>
    <w:rsid w:val="00EE0A39"/>
    <w:rsid w:val="00F01FBB"/>
    <w:rsid w:val="00F1624E"/>
    <w:rsid w:val="00F237C1"/>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703E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703E0"/>
    <w:rPr>
      <w:rFonts w:ascii="Calibri" w:eastAsia="宋体" w:hAnsi="Calibri" w:cs="Times New Roman"/>
      <w:sz w:val="18"/>
      <w:szCs w:val="18"/>
    </w:rPr>
  </w:style>
  <w:style w:type="paragraph" w:styleId="a4">
    <w:name w:val="footer"/>
    <w:basedOn w:val="a"/>
    <w:link w:val="Char0"/>
    <w:uiPriority w:val="99"/>
    <w:unhideWhenUsed/>
    <w:rsid w:val="007703E0"/>
    <w:pPr>
      <w:tabs>
        <w:tab w:val="center" w:pos="4153"/>
        <w:tab w:val="right" w:pos="8306"/>
      </w:tabs>
      <w:snapToGrid w:val="0"/>
      <w:jc w:val="left"/>
    </w:pPr>
    <w:rPr>
      <w:sz w:val="18"/>
      <w:szCs w:val="18"/>
    </w:rPr>
  </w:style>
  <w:style w:type="character" w:customStyle="1" w:styleId="Char0">
    <w:name w:val="页脚 Char"/>
    <w:basedOn w:val="a0"/>
    <w:link w:val="a4"/>
    <w:uiPriority w:val="99"/>
    <w:rsid w:val="007703E0"/>
    <w:rPr>
      <w:rFonts w:ascii="Calibri" w:eastAsia="宋体" w:hAnsi="Calibri" w:cs="Times New Roman"/>
      <w:sz w:val="18"/>
      <w:szCs w:val="18"/>
    </w:rPr>
  </w:style>
  <w:style w:type="paragraph" w:styleId="a5">
    <w:name w:val="List Paragraph"/>
    <w:basedOn w:val="a"/>
    <w:uiPriority w:val="34"/>
    <w:qFormat/>
    <w:rsid w:val="009216CE"/>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171</Words>
  <Characters>975</Characters>
  <Application>Microsoft Office Word</Application>
  <DocSecurity>0</DocSecurity>
  <Lines>8</Lines>
  <Paragraphs>2</Paragraphs>
  <ScaleCrop>false</ScaleCrop>
  <Company/>
  <LinksUpToDate>false</LinksUpToDate>
  <CharactersWithSpaces>1144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 &amp; Wood Mallesons</dc:creator>
  <cp:lastModifiedBy>赵浩涵</cp:lastModifiedBy>
  <cp:revision>2</cp:revision>
  <dcterms:created xsi:type="dcterms:W3CDTF">2019-10-21T06:47:00Z</dcterms:created>
  <dcterms:modified xsi:type="dcterms:W3CDTF">2019-10-21T06:47:00Z</dcterms:modified>
</cp:coreProperties>
</file>