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Times New Roman" w:hAnsi="Times New Roman" w:eastAsia="楷体_GB2312"/>
          <w:b/>
          <w:szCs w:val="21"/>
        </w:rPr>
      </w:pPr>
    </w:p>
    <w:p>
      <w:pPr>
        <w:spacing w:line="440" w:lineRule="exact"/>
        <w:jc w:val="center"/>
        <w:rPr>
          <w:rFonts w:ascii="Times New Roman" w:hAnsi="Times New Roman" w:eastAsia="楷体_GB2312"/>
          <w:sz w:val="30"/>
          <w:szCs w:val="30"/>
        </w:rPr>
      </w:pPr>
      <w:r>
        <w:rPr>
          <w:rFonts w:ascii="Times New Roman" w:hAnsi="Times New Roman" w:eastAsia="楷体_GB2312"/>
          <w:sz w:val="30"/>
          <w:szCs w:val="30"/>
        </w:rPr>
        <w:t>经营者集中简易案件公示表</w:t>
      </w:r>
    </w:p>
    <w:p>
      <w:pPr>
        <w:spacing w:line="440" w:lineRule="exact"/>
        <w:ind w:firstLine="845" w:firstLineChars="302"/>
        <w:rPr>
          <w:rFonts w:ascii="Times New Roman" w:hAnsi="Times New Roman" w:eastAsia="楷体_GB2312"/>
          <w:sz w:val="28"/>
          <w:szCs w:val="28"/>
        </w:rPr>
      </w:pPr>
    </w:p>
    <w:tbl>
      <w:tblPr>
        <w:tblStyle w:val="9"/>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Times New Roman" w:hAnsi="Times New Roman" w:eastAsia="楷体_GB2312"/>
                <w:color w:val="333333"/>
                <w:kern w:val="0"/>
                <w:sz w:val="24"/>
                <w:szCs w:val="24"/>
              </w:rPr>
            </w:pPr>
            <w:r>
              <w:rPr>
                <w:rFonts w:ascii="Times New Roman" w:hAnsi="Times New Roman" w:eastAsia="楷体_GB2312"/>
                <w:color w:val="333333"/>
                <w:kern w:val="0"/>
                <w:sz w:val="24"/>
                <w:szCs w:val="24"/>
              </w:rPr>
              <w:t>案件名称</w:t>
            </w:r>
          </w:p>
        </w:tc>
        <w:tc>
          <w:tcPr>
            <w:tcW w:w="6949" w:type="dxa"/>
            <w:gridSpan w:val="2"/>
          </w:tcPr>
          <w:p>
            <w:pPr>
              <w:spacing w:line="500" w:lineRule="exact"/>
              <w:rPr>
                <w:rFonts w:ascii="Times New Roman" w:hAnsi="Times New Roman" w:eastAsia="楷体_GB2312"/>
                <w:color w:val="333333"/>
                <w:kern w:val="0"/>
                <w:sz w:val="24"/>
                <w:szCs w:val="24"/>
              </w:rPr>
            </w:pPr>
            <w:r>
              <w:rPr>
                <w:rFonts w:hint="eastAsia" w:ascii="Times New Roman" w:hAnsi="Times New Roman" w:eastAsia="楷体_GB2312"/>
                <w:color w:val="333333"/>
                <w:kern w:val="0"/>
                <w:sz w:val="24"/>
                <w:szCs w:val="24"/>
              </w:rPr>
              <w:t>信德集团有限公司与中华企业股份有限公司收购上海华合房地产开发有限公司等两家公司股权案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93" w:hRule="atLeast"/>
        </w:trPr>
        <w:tc>
          <w:tcPr>
            <w:tcW w:w="1809" w:type="dxa"/>
            <w:shd w:val="clear" w:color="auto" w:fill="D9D9D9"/>
            <w:vAlign w:val="center"/>
          </w:tcPr>
          <w:p>
            <w:pPr>
              <w:spacing w:line="500" w:lineRule="exact"/>
              <w:jc w:val="center"/>
              <w:rPr>
                <w:rFonts w:ascii="Times New Roman" w:hAnsi="Times New Roman" w:eastAsia="楷体_GB2312"/>
                <w:color w:val="333333"/>
                <w:kern w:val="0"/>
                <w:sz w:val="24"/>
                <w:szCs w:val="24"/>
              </w:rPr>
            </w:pPr>
            <w:r>
              <w:rPr>
                <w:rFonts w:ascii="Times New Roman" w:hAnsi="Times New Roman" w:eastAsia="楷体_GB2312"/>
                <w:color w:val="333333"/>
                <w:kern w:val="0"/>
                <w:sz w:val="24"/>
                <w:szCs w:val="24"/>
              </w:rPr>
              <w:t>交易概况</w:t>
            </w:r>
          </w:p>
          <w:p>
            <w:pPr>
              <w:spacing w:line="500" w:lineRule="exact"/>
              <w:jc w:val="center"/>
              <w:rPr>
                <w:rFonts w:ascii="Times New Roman" w:hAnsi="Times New Roman" w:eastAsia="楷体_GB2312"/>
                <w:color w:val="333333"/>
                <w:kern w:val="0"/>
                <w:sz w:val="24"/>
                <w:szCs w:val="24"/>
              </w:rPr>
            </w:pPr>
            <w:r>
              <w:rPr>
                <w:rFonts w:ascii="Times New Roman" w:hAnsi="Times New Roman" w:eastAsia="楷体_GB2312"/>
                <w:color w:val="333333"/>
                <w:kern w:val="0"/>
                <w:sz w:val="24"/>
                <w:szCs w:val="24"/>
              </w:rPr>
              <w:t>（限200字内）</w:t>
            </w:r>
          </w:p>
        </w:tc>
        <w:tc>
          <w:tcPr>
            <w:tcW w:w="6949" w:type="dxa"/>
            <w:gridSpan w:val="2"/>
          </w:tcPr>
          <w:p>
            <w:pPr>
              <w:spacing w:line="500" w:lineRule="exact"/>
              <w:rPr>
                <w:rFonts w:ascii="Times New Roman" w:hAnsi="Times New Roman" w:eastAsia="楷体_GB2312"/>
                <w:color w:val="333333"/>
                <w:kern w:val="0"/>
                <w:sz w:val="24"/>
                <w:szCs w:val="24"/>
              </w:rPr>
            </w:pPr>
            <w:r>
              <w:rPr>
                <w:rFonts w:hint="eastAsia" w:ascii="Times New Roman" w:hAnsi="Times New Roman" w:eastAsia="楷体_GB2312"/>
                <w:color w:val="333333"/>
                <w:kern w:val="0"/>
                <w:sz w:val="24"/>
                <w:szCs w:val="24"/>
              </w:rPr>
              <w:t>信德集团和中华企业拟通过其合营企业收购深圳华侨城房地产有限公司持有的上海华合与上海华筵房地产开发有限公司（“</w:t>
            </w:r>
            <w:r>
              <w:rPr>
                <w:rFonts w:hint="eastAsia" w:ascii="Times New Roman" w:hAnsi="Times New Roman" w:eastAsia="楷体_GB2312"/>
                <w:b/>
                <w:color w:val="333333"/>
                <w:kern w:val="0"/>
                <w:sz w:val="24"/>
                <w:szCs w:val="24"/>
              </w:rPr>
              <w:t>上海华筵</w:t>
            </w:r>
            <w:r>
              <w:rPr>
                <w:rFonts w:hint="eastAsia" w:ascii="Times New Roman" w:hAnsi="Times New Roman" w:eastAsia="楷体_GB2312"/>
                <w:color w:val="333333"/>
                <w:kern w:val="0"/>
                <w:sz w:val="24"/>
                <w:szCs w:val="24"/>
              </w:rPr>
              <w:t>”）50%股份。上海华合与上海华筵在上海市苏河湾区域运营零售商业地产、商业住宅及办公楼等地产项目（“</w:t>
            </w:r>
            <w:r>
              <w:rPr>
                <w:rFonts w:hint="eastAsia" w:ascii="Times New Roman" w:hAnsi="Times New Roman" w:eastAsia="楷体_GB2312"/>
                <w:b/>
                <w:color w:val="333333"/>
                <w:kern w:val="0"/>
                <w:sz w:val="24"/>
                <w:szCs w:val="24"/>
              </w:rPr>
              <w:t>苏河湾项目</w:t>
            </w:r>
            <w:r>
              <w:rPr>
                <w:rFonts w:hint="eastAsia" w:ascii="Times New Roman" w:hAnsi="Times New Roman" w:eastAsia="楷体_GB2312"/>
                <w:color w:val="333333"/>
                <w:kern w:val="0"/>
                <w:sz w:val="24"/>
                <w:szCs w:val="24"/>
              </w:rPr>
              <w:t>”）。本次交易后，信德集团和中华企业将通过其合营企业与既存股东华润置地（上海）有限公司（“</w:t>
            </w:r>
            <w:r>
              <w:rPr>
                <w:rFonts w:hint="eastAsia" w:ascii="Times New Roman" w:hAnsi="Times New Roman" w:eastAsia="楷体_GB2312"/>
                <w:b/>
                <w:color w:val="333333"/>
                <w:kern w:val="0"/>
                <w:sz w:val="24"/>
                <w:szCs w:val="24"/>
              </w:rPr>
              <w:t>华润置地</w:t>
            </w:r>
            <w:r>
              <w:rPr>
                <w:rFonts w:hint="eastAsia" w:ascii="Times New Roman" w:hAnsi="Times New Roman" w:eastAsia="楷体_GB2312"/>
                <w:color w:val="333333"/>
                <w:kern w:val="0"/>
                <w:sz w:val="24"/>
                <w:szCs w:val="24"/>
              </w:rPr>
              <w:t>”）共同控制上海华合和上海华筵，取得对苏河湾项目的控制权。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spacing w:line="500" w:lineRule="exact"/>
              <w:jc w:val="center"/>
              <w:rPr>
                <w:rFonts w:ascii="Times New Roman" w:hAnsi="Times New Roman" w:eastAsia="楷体_GB2312"/>
                <w:color w:val="333333"/>
                <w:kern w:val="0"/>
                <w:sz w:val="24"/>
                <w:szCs w:val="24"/>
              </w:rPr>
            </w:pPr>
            <w:r>
              <w:rPr>
                <w:rFonts w:ascii="Times New Roman" w:hAnsi="Times New Roman" w:eastAsia="楷体_GB2312"/>
                <w:color w:val="333333"/>
                <w:kern w:val="0"/>
                <w:sz w:val="24"/>
                <w:szCs w:val="24"/>
              </w:rPr>
              <w:t>参与集中的</w:t>
            </w:r>
          </w:p>
          <w:p>
            <w:pPr>
              <w:spacing w:line="500" w:lineRule="exact"/>
              <w:jc w:val="center"/>
              <w:rPr>
                <w:rFonts w:ascii="Times New Roman" w:hAnsi="Times New Roman" w:eastAsia="楷体_GB2312"/>
                <w:color w:val="333333"/>
                <w:kern w:val="0"/>
                <w:sz w:val="24"/>
                <w:szCs w:val="24"/>
              </w:rPr>
            </w:pPr>
            <w:r>
              <w:rPr>
                <w:rFonts w:ascii="Times New Roman" w:hAnsi="Times New Roman" w:eastAsia="楷体_GB2312"/>
                <w:color w:val="333333"/>
                <w:kern w:val="0"/>
                <w:sz w:val="24"/>
                <w:szCs w:val="24"/>
              </w:rPr>
              <w:t>经营者简介</w:t>
            </w:r>
          </w:p>
        </w:tc>
        <w:tc>
          <w:tcPr>
            <w:tcW w:w="1796" w:type="dxa"/>
          </w:tcPr>
          <w:p>
            <w:pPr>
              <w:spacing w:line="500" w:lineRule="exact"/>
              <w:rPr>
                <w:rFonts w:ascii="Times New Roman" w:hAnsi="Times New Roman" w:eastAsia="楷体_GB2312"/>
                <w:color w:val="333333"/>
                <w:kern w:val="0"/>
                <w:sz w:val="24"/>
                <w:szCs w:val="24"/>
              </w:rPr>
            </w:pPr>
            <w:r>
              <w:rPr>
                <w:rFonts w:ascii="Times New Roman" w:hAnsi="Times New Roman" w:eastAsia="楷体_GB2312"/>
                <w:color w:val="333333"/>
                <w:kern w:val="0"/>
                <w:sz w:val="24"/>
                <w:szCs w:val="24"/>
              </w:rPr>
              <w:t>1、</w:t>
            </w:r>
            <w:r>
              <w:rPr>
                <w:rFonts w:hint="eastAsia" w:ascii="Times New Roman" w:hAnsi="Times New Roman" w:eastAsia="楷体_GB2312"/>
                <w:color w:val="333333"/>
                <w:kern w:val="0"/>
                <w:sz w:val="24"/>
                <w:szCs w:val="24"/>
              </w:rPr>
              <w:t>信德集团</w:t>
            </w:r>
          </w:p>
        </w:tc>
        <w:tc>
          <w:tcPr>
            <w:tcW w:w="5153" w:type="dxa"/>
          </w:tcPr>
          <w:p>
            <w:pPr>
              <w:spacing w:line="500" w:lineRule="exact"/>
              <w:rPr>
                <w:rFonts w:ascii="Times New Roman" w:hAnsi="Times New Roman" w:eastAsia="楷体_GB2312"/>
                <w:color w:val="333333"/>
                <w:kern w:val="0"/>
                <w:sz w:val="24"/>
                <w:szCs w:val="24"/>
              </w:rPr>
            </w:pPr>
            <w:r>
              <w:rPr>
                <w:rFonts w:hint="eastAsia" w:ascii="Times New Roman" w:hAnsi="Times New Roman" w:eastAsia="楷体_GB2312"/>
                <w:color w:val="333333"/>
                <w:kern w:val="0"/>
                <w:sz w:val="24"/>
                <w:szCs w:val="24"/>
              </w:rPr>
              <w:t>信德集团是位于香港的一家大型综合企业，核心业务包括运输、地产、酒店及消闲与投资。就其地产业务而言，信德集团主要在中国澳门、中国香港及新加坡从事商场、住宅、写字楼及酒店的开发、运营与销售。同时，其还提供商场、住宅与写字楼的物业租赁、物业管理及酒店管理等服务。在中国大陆境内，信德集团当前主要在北京及上海从事写字楼地产及酒店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line="500" w:lineRule="exact"/>
              <w:jc w:val="center"/>
              <w:rPr>
                <w:rFonts w:ascii="Times New Roman" w:hAnsi="Times New Roman" w:eastAsia="楷体_GB2312"/>
                <w:color w:val="333333"/>
                <w:kern w:val="0"/>
                <w:sz w:val="24"/>
                <w:szCs w:val="24"/>
              </w:rPr>
            </w:pPr>
          </w:p>
        </w:tc>
        <w:tc>
          <w:tcPr>
            <w:tcW w:w="1796" w:type="dxa"/>
          </w:tcPr>
          <w:p>
            <w:pPr>
              <w:spacing w:line="500" w:lineRule="exact"/>
              <w:rPr>
                <w:rFonts w:ascii="Times New Roman" w:hAnsi="Times New Roman" w:eastAsia="楷体_GB2312"/>
                <w:color w:val="333333"/>
                <w:kern w:val="0"/>
                <w:sz w:val="24"/>
                <w:szCs w:val="24"/>
              </w:rPr>
            </w:pPr>
            <w:r>
              <w:rPr>
                <w:rFonts w:ascii="Times New Roman" w:hAnsi="Times New Roman" w:eastAsia="楷体_GB2312"/>
                <w:color w:val="333333"/>
                <w:kern w:val="0"/>
                <w:sz w:val="24"/>
                <w:szCs w:val="24"/>
              </w:rPr>
              <w:t>2、</w:t>
            </w:r>
            <w:r>
              <w:rPr>
                <w:rFonts w:hint="eastAsia" w:ascii="Times New Roman" w:hAnsi="Times New Roman" w:eastAsia="楷体_GB2312"/>
                <w:color w:val="333333"/>
                <w:kern w:val="0"/>
                <w:sz w:val="24"/>
                <w:szCs w:val="24"/>
              </w:rPr>
              <w:t>中华企业</w:t>
            </w:r>
          </w:p>
        </w:tc>
        <w:tc>
          <w:tcPr>
            <w:tcW w:w="5153" w:type="dxa"/>
          </w:tcPr>
          <w:p>
            <w:pPr>
              <w:spacing w:line="500" w:lineRule="exact"/>
              <w:rPr>
                <w:rFonts w:ascii="Times New Roman" w:hAnsi="Times New Roman" w:eastAsia="楷体_GB2312"/>
                <w:color w:val="333333"/>
                <w:kern w:val="0"/>
                <w:sz w:val="24"/>
                <w:szCs w:val="24"/>
              </w:rPr>
            </w:pPr>
            <w:r>
              <w:rPr>
                <w:rFonts w:hint="eastAsia" w:ascii="Times New Roman" w:hAnsi="Times New Roman" w:eastAsia="楷体_GB2312"/>
                <w:color w:val="333333"/>
                <w:kern w:val="0"/>
                <w:sz w:val="24"/>
                <w:szCs w:val="24"/>
              </w:rPr>
              <w:t>中华企业的主营业务为房地产开发，其以“稳健经营、持续发展”为指导思想，立足上海，拓展长三角。通过开发住宅和商业地产实现经营的双轮驱动，保持住宅与商业、销售和租赁的适度配比。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line="500" w:lineRule="exact"/>
              <w:jc w:val="center"/>
              <w:rPr>
                <w:rFonts w:ascii="Times New Roman" w:hAnsi="Times New Roman" w:eastAsia="楷体_GB2312"/>
                <w:color w:val="333333"/>
                <w:kern w:val="0"/>
                <w:sz w:val="24"/>
                <w:szCs w:val="24"/>
              </w:rPr>
            </w:pPr>
          </w:p>
        </w:tc>
        <w:tc>
          <w:tcPr>
            <w:tcW w:w="1796" w:type="dxa"/>
          </w:tcPr>
          <w:p>
            <w:pPr>
              <w:spacing w:line="500" w:lineRule="exact"/>
              <w:rPr>
                <w:rFonts w:ascii="Times New Roman" w:hAnsi="Times New Roman" w:eastAsia="楷体_GB2312"/>
                <w:color w:val="333333"/>
                <w:kern w:val="0"/>
                <w:sz w:val="24"/>
                <w:szCs w:val="24"/>
              </w:rPr>
            </w:pPr>
            <w:r>
              <w:rPr>
                <w:rFonts w:hint="eastAsia" w:ascii="Times New Roman" w:hAnsi="Times New Roman" w:eastAsia="楷体_GB2312"/>
                <w:color w:val="333333"/>
                <w:kern w:val="0"/>
                <w:sz w:val="24"/>
                <w:szCs w:val="24"/>
              </w:rPr>
              <w:t>3、华润置地</w:t>
            </w:r>
          </w:p>
        </w:tc>
        <w:tc>
          <w:tcPr>
            <w:tcW w:w="5153" w:type="dxa"/>
          </w:tcPr>
          <w:p>
            <w:pPr>
              <w:spacing w:line="500" w:lineRule="exact"/>
              <w:rPr>
                <w:rFonts w:ascii="Times New Roman" w:hAnsi="Times New Roman" w:eastAsia="楷体_GB2312"/>
                <w:color w:val="333333"/>
                <w:kern w:val="0"/>
                <w:sz w:val="24"/>
                <w:szCs w:val="24"/>
              </w:rPr>
            </w:pPr>
            <w:r>
              <w:rPr>
                <w:rFonts w:hint="eastAsia" w:ascii="Times New Roman" w:hAnsi="Times New Roman" w:eastAsia="楷体_GB2312"/>
                <w:color w:val="333333"/>
                <w:kern w:val="0"/>
                <w:sz w:val="24"/>
                <w:szCs w:val="24"/>
              </w:rPr>
              <w:t>华润置地是华润集团旗下负责城市建设与运营的战略业务单元，为城市综合投资开发运营商。公司业务包括住宅开发、商业地产、城市更新、物业服务、康养地产、长租公寓、产业基金、产业地产、文化体育与教育地产、影院、建筑、装饰、机电家私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line="500" w:lineRule="exact"/>
              <w:jc w:val="center"/>
              <w:rPr>
                <w:rFonts w:ascii="Times New Roman" w:hAnsi="Times New Roman" w:eastAsia="楷体_GB2312"/>
                <w:color w:val="333333"/>
                <w:kern w:val="0"/>
                <w:sz w:val="24"/>
                <w:szCs w:val="24"/>
              </w:rPr>
            </w:pPr>
          </w:p>
        </w:tc>
        <w:tc>
          <w:tcPr>
            <w:tcW w:w="1796" w:type="dxa"/>
          </w:tcPr>
          <w:p>
            <w:pPr>
              <w:spacing w:line="500" w:lineRule="exact"/>
              <w:rPr>
                <w:rFonts w:ascii="Times New Roman" w:hAnsi="Times New Roman" w:eastAsia="楷体_GB2312"/>
                <w:color w:val="333333"/>
                <w:kern w:val="0"/>
                <w:sz w:val="24"/>
                <w:szCs w:val="24"/>
              </w:rPr>
            </w:pPr>
            <w:r>
              <w:rPr>
                <w:rFonts w:hint="eastAsia" w:ascii="Times New Roman" w:hAnsi="Times New Roman" w:eastAsia="楷体_GB2312"/>
                <w:color w:val="333333"/>
                <w:kern w:val="0"/>
                <w:sz w:val="24"/>
                <w:szCs w:val="24"/>
              </w:rPr>
              <w:t>4、上海华合</w:t>
            </w:r>
          </w:p>
        </w:tc>
        <w:tc>
          <w:tcPr>
            <w:tcW w:w="5153" w:type="dxa"/>
          </w:tcPr>
          <w:p>
            <w:pPr>
              <w:spacing w:line="500" w:lineRule="exact"/>
              <w:rPr>
                <w:rFonts w:ascii="Times New Roman" w:hAnsi="Times New Roman" w:eastAsia="楷体_GB2312"/>
                <w:color w:val="333333"/>
                <w:kern w:val="0"/>
                <w:sz w:val="24"/>
                <w:szCs w:val="24"/>
              </w:rPr>
            </w:pPr>
            <w:r>
              <w:rPr>
                <w:rFonts w:hint="eastAsia" w:ascii="Times New Roman" w:hAnsi="Times New Roman" w:eastAsia="楷体_GB2312"/>
                <w:color w:val="333333"/>
                <w:kern w:val="0"/>
                <w:sz w:val="24"/>
                <w:szCs w:val="24"/>
              </w:rPr>
              <w:t>上海华合主要在上海市苏河湾地块从事房地产开发业务。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line="500" w:lineRule="exact"/>
              <w:jc w:val="center"/>
              <w:rPr>
                <w:rFonts w:ascii="Times New Roman" w:hAnsi="Times New Roman" w:eastAsia="楷体_GB2312"/>
                <w:color w:val="333333"/>
                <w:kern w:val="0"/>
                <w:sz w:val="24"/>
                <w:szCs w:val="24"/>
              </w:rPr>
            </w:pPr>
          </w:p>
        </w:tc>
        <w:tc>
          <w:tcPr>
            <w:tcW w:w="1796" w:type="dxa"/>
          </w:tcPr>
          <w:p>
            <w:pPr>
              <w:spacing w:line="500" w:lineRule="exact"/>
              <w:rPr>
                <w:rFonts w:ascii="Times New Roman" w:hAnsi="Times New Roman" w:eastAsia="楷体_GB2312"/>
                <w:color w:val="333333"/>
                <w:kern w:val="0"/>
                <w:sz w:val="24"/>
                <w:szCs w:val="24"/>
              </w:rPr>
            </w:pPr>
            <w:r>
              <w:rPr>
                <w:rFonts w:hint="eastAsia" w:ascii="Times New Roman" w:hAnsi="Times New Roman" w:eastAsia="楷体_GB2312"/>
                <w:color w:val="333333"/>
                <w:kern w:val="0"/>
                <w:sz w:val="24"/>
                <w:szCs w:val="24"/>
              </w:rPr>
              <w:t>5、上海华筵</w:t>
            </w:r>
          </w:p>
        </w:tc>
        <w:tc>
          <w:tcPr>
            <w:tcW w:w="5153" w:type="dxa"/>
          </w:tcPr>
          <w:p>
            <w:pPr>
              <w:spacing w:line="500" w:lineRule="exact"/>
              <w:rPr>
                <w:rFonts w:ascii="Times New Roman" w:hAnsi="Times New Roman" w:eastAsia="楷体_GB2312"/>
                <w:color w:val="333333"/>
                <w:kern w:val="0"/>
                <w:sz w:val="24"/>
                <w:szCs w:val="24"/>
              </w:rPr>
            </w:pPr>
            <w:r>
              <w:rPr>
                <w:rFonts w:hint="eastAsia" w:ascii="Times New Roman" w:hAnsi="Times New Roman" w:eastAsia="楷体_GB2312"/>
                <w:color w:val="333333"/>
                <w:kern w:val="0"/>
                <w:sz w:val="24"/>
                <w:szCs w:val="24"/>
              </w:rPr>
              <w:t>上海华筵主要在上海市苏河湾地块从事房地产开发业务。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spacing w:line="500" w:lineRule="exact"/>
              <w:jc w:val="center"/>
              <w:rPr>
                <w:rFonts w:ascii="Times New Roman" w:hAnsi="Times New Roman" w:eastAsia="楷体_GB2312"/>
                <w:color w:val="333333"/>
                <w:kern w:val="0"/>
                <w:sz w:val="24"/>
                <w:szCs w:val="24"/>
              </w:rPr>
            </w:pPr>
            <w:r>
              <w:rPr>
                <w:rFonts w:ascii="Times New Roman" w:hAnsi="Times New Roman" w:eastAsia="楷体_GB2312"/>
                <w:color w:val="333333"/>
                <w:kern w:val="0"/>
                <w:sz w:val="24"/>
                <w:szCs w:val="24"/>
              </w:rPr>
              <w:t>简易案件理由（可以单选，也可以多选）</w:t>
            </w:r>
          </w:p>
        </w:tc>
        <w:tc>
          <w:tcPr>
            <w:tcW w:w="6949" w:type="dxa"/>
            <w:gridSpan w:val="2"/>
          </w:tcPr>
          <w:p>
            <w:pPr>
              <w:spacing w:line="500" w:lineRule="exact"/>
              <w:rPr>
                <w:rFonts w:ascii="Times New Roman" w:hAnsi="Times New Roman" w:eastAsia="楷体_GB2312"/>
                <w:color w:val="333333"/>
                <w:kern w:val="0"/>
                <w:sz w:val="24"/>
                <w:szCs w:val="24"/>
              </w:rPr>
            </w:pPr>
            <w:r>
              <w:rPr>
                <w:rFonts w:ascii="Times New Roman" w:hAnsi="Times New Roman" w:eastAsia="楷体_GB2312"/>
                <w:color w:val="333333"/>
                <w:kern w:val="0"/>
                <w:sz w:val="24"/>
                <w:szCs w:val="24"/>
              </w:rPr>
              <w:sym w:font="Wingdings" w:char="F0FE"/>
            </w:r>
            <w:r>
              <w:rPr>
                <w:rFonts w:ascii="Times New Roman" w:hAnsi="Times New Roman" w:eastAsia="楷体_GB2312"/>
                <w:color w:val="333333"/>
                <w:kern w:val="0"/>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spacing w:line="500" w:lineRule="exact"/>
              <w:jc w:val="center"/>
              <w:rPr>
                <w:rFonts w:ascii="Times New Roman" w:hAnsi="Times New Roman" w:eastAsia="楷体_GB2312"/>
                <w:color w:val="333333"/>
                <w:kern w:val="0"/>
                <w:sz w:val="24"/>
                <w:szCs w:val="24"/>
              </w:rPr>
            </w:pPr>
          </w:p>
        </w:tc>
        <w:tc>
          <w:tcPr>
            <w:tcW w:w="6949" w:type="dxa"/>
            <w:gridSpan w:val="2"/>
          </w:tcPr>
          <w:p>
            <w:pPr>
              <w:spacing w:line="500" w:lineRule="exact"/>
              <w:rPr>
                <w:rFonts w:ascii="Times New Roman" w:hAnsi="Times New Roman" w:eastAsia="楷体_GB2312"/>
                <w:color w:val="333333"/>
                <w:kern w:val="0"/>
                <w:sz w:val="24"/>
                <w:szCs w:val="24"/>
              </w:rPr>
            </w:pPr>
            <w:r>
              <w:rPr>
                <w:rFonts w:ascii="Times New Roman" w:hAnsi="Times New Roman" w:eastAsia="楷体_GB2312"/>
                <w:color w:val="333333"/>
                <w:kern w:val="0"/>
                <w:sz w:val="24"/>
                <w:szCs w:val="24"/>
              </w:rPr>
              <w:sym w:font="Wingdings" w:char="F0FE"/>
            </w:r>
            <w:r>
              <w:rPr>
                <w:rFonts w:ascii="Times New Roman" w:hAnsi="Times New Roman" w:eastAsia="楷体_GB2312"/>
                <w:color w:val="333333"/>
                <w:kern w:val="0"/>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spacing w:line="500" w:lineRule="exact"/>
              <w:jc w:val="center"/>
              <w:rPr>
                <w:rFonts w:ascii="Times New Roman" w:hAnsi="Times New Roman" w:eastAsia="楷体_GB2312"/>
                <w:color w:val="333333"/>
                <w:kern w:val="0"/>
                <w:sz w:val="24"/>
                <w:szCs w:val="24"/>
              </w:rPr>
            </w:pPr>
          </w:p>
        </w:tc>
        <w:tc>
          <w:tcPr>
            <w:tcW w:w="6949" w:type="dxa"/>
            <w:gridSpan w:val="2"/>
          </w:tcPr>
          <w:p>
            <w:pPr>
              <w:spacing w:line="500" w:lineRule="exact"/>
              <w:rPr>
                <w:rFonts w:ascii="Times New Roman" w:hAnsi="Times New Roman" w:eastAsia="楷体_GB2312"/>
                <w:color w:val="333333"/>
                <w:kern w:val="0"/>
                <w:sz w:val="24"/>
                <w:szCs w:val="24"/>
              </w:rPr>
            </w:pPr>
            <w:r>
              <w:rPr>
                <w:rFonts w:ascii="Times New Roman" w:hAnsi="Times New Roman" w:eastAsia="楷体_GB2312"/>
                <w:color w:val="333333"/>
                <w:kern w:val="0"/>
                <w:sz w:val="24"/>
                <w:szCs w:val="24"/>
              </w:rPr>
              <w:sym w:font="Wingdings" w:char="F0A8"/>
            </w:r>
            <w:r>
              <w:rPr>
                <w:rFonts w:ascii="Times New Roman" w:hAnsi="Times New Roman" w:eastAsia="楷体_GB2312"/>
                <w:color w:val="333333"/>
                <w:kern w:val="0"/>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spacing w:line="500" w:lineRule="exact"/>
              <w:jc w:val="center"/>
              <w:rPr>
                <w:rFonts w:ascii="Times New Roman" w:hAnsi="Times New Roman" w:eastAsia="楷体_GB2312"/>
                <w:color w:val="333333"/>
                <w:kern w:val="0"/>
                <w:sz w:val="24"/>
                <w:szCs w:val="24"/>
              </w:rPr>
            </w:pPr>
          </w:p>
        </w:tc>
        <w:tc>
          <w:tcPr>
            <w:tcW w:w="6949" w:type="dxa"/>
            <w:gridSpan w:val="2"/>
          </w:tcPr>
          <w:p>
            <w:pPr>
              <w:spacing w:line="500" w:lineRule="exact"/>
              <w:rPr>
                <w:rFonts w:ascii="Times New Roman" w:hAnsi="Times New Roman" w:eastAsia="楷体_GB2312"/>
                <w:color w:val="333333"/>
                <w:kern w:val="0"/>
                <w:sz w:val="24"/>
                <w:szCs w:val="24"/>
              </w:rPr>
            </w:pPr>
            <w:r>
              <w:rPr>
                <w:rFonts w:ascii="Times New Roman" w:hAnsi="Times New Roman" w:eastAsia="楷体_GB2312"/>
                <w:color w:val="333333"/>
                <w:kern w:val="0"/>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spacing w:line="500" w:lineRule="exact"/>
              <w:jc w:val="center"/>
              <w:rPr>
                <w:rFonts w:ascii="Times New Roman" w:hAnsi="Times New Roman" w:eastAsia="楷体_GB2312"/>
                <w:color w:val="333333"/>
                <w:kern w:val="0"/>
                <w:sz w:val="24"/>
                <w:szCs w:val="24"/>
              </w:rPr>
            </w:pPr>
          </w:p>
        </w:tc>
        <w:tc>
          <w:tcPr>
            <w:tcW w:w="6949" w:type="dxa"/>
            <w:gridSpan w:val="2"/>
          </w:tcPr>
          <w:p>
            <w:pPr>
              <w:spacing w:line="500" w:lineRule="exact"/>
              <w:rPr>
                <w:rFonts w:ascii="Times New Roman" w:hAnsi="Times New Roman" w:eastAsia="楷体_GB2312"/>
                <w:color w:val="333333"/>
                <w:kern w:val="0"/>
                <w:sz w:val="24"/>
                <w:szCs w:val="24"/>
              </w:rPr>
            </w:pPr>
            <w:r>
              <w:rPr>
                <w:rFonts w:ascii="Times New Roman" w:hAnsi="Times New Roman" w:eastAsia="楷体_GB2312"/>
                <w:color w:val="333333"/>
                <w:kern w:val="0"/>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spacing w:line="500" w:lineRule="exact"/>
              <w:jc w:val="center"/>
              <w:rPr>
                <w:rFonts w:ascii="Times New Roman" w:hAnsi="Times New Roman" w:eastAsia="楷体_GB2312"/>
                <w:color w:val="333333"/>
                <w:kern w:val="0"/>
                <w:sz w:val="24"/>
                <w:szCs w:val="24"/>
              </w:rPr>
            </w:pPr>
          </w:p>
        </w:tc>
        <w:tc>
          <w:tcPr>
            <w:tcW w:w="6949" w:type="dxa"/>
            <w:gridSpan w:val="2"/>
          </w:tcPr>
          <w:p>
            <w:pPr>
              <w:spacing w:line="500" w:lineRule="exact"/>
              <w:rPr>
                <w:rFonts w:ascii="Times New Roman" w:hAnsi="Times New Roman" w:eastAsia="楷体_GB2312"/>
                <w:color w:val="333333"/>
                <w:kern w:val="0"/>
                <w:sz w:val="24"/>
                <w:szCs w:val="24"/>
              </w:rPr>
            </w:pPr>
            <w:r>
              <w:rPr>
                <w:rFonts w:ascii="Times New Roman" w:hAnsi="Times New Roman" w:eastAsia="楷体_GB2312"/>
                <w:color w:val="333333"/>
                <w:kern w:val="0"/>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Times New Roman" w:hAnsi="Times New Roman" w:eastAsia="楷体_GB2312"/>
                <w:color w:val="333333"/>
                <w:kern w:val="0"/>
                <w:sz w:val="24"/>
                <w:szCs w:val="24"/>
              </w:rPr>
            </w:pPr>
            <w:r>
              <w:rPr>
                <w:rFonts w:ascii="Times New Roman" w:hAnsi="Times New Roman" w:eastAsia="楷体_GB2312"/>
                <w:color w:val="333333"/>
                <w:kern w:val="0"/>
                <w:sz w:val="24"/>
                <w:szCs w:val="24"/>
              </w:rPr>
              <w:t>备注</w:t>
            </w:r>
          </w:p>
        </w:tc>
        <w:tc>
          <w:tcPr>
            <w:tcW w:w="6949" w:type="dxa"/>
            <w:gridSpan w:val="2"/>
          </w:tcPr>
          <w:p>
            <w:pPr>
              <w:spacing w:line="500" w:lineRule="exact"/>
              <w:rPr>
                <w:rFonts w:ascii="Times New Roman" w:hAnsi="Times New Roman" w:eastAsia="楷体_GB2312"/>
                <w:b/>
                <w:color w:val="333333"/>
                <w:kern w:val="0"/>
                <w:sz w:val="24"/>
                <w:szCs w:val="24"/>
                <w:u w:val="single"/>
              </w:rPr>
            </w:pPr>
            <w:r>
              <w:rPr>
                <w:rFonts w:ascii="Times New Roman" w:hAnsi="Times New Roman" w:eastAsia="楷体_GB2312"/>
                <w:b/>
                <w:color w:val="333333"/>
                <w:kern w:val="0"/>
                <w:sz w:val="24"/>
                <w:szCs w:val="24"/>
                <w:u w:val="single"/>
              </w:rPr>
              <w:t>相关市场</w:t>
            </w:r>
            <w:r>
              <w:rPr>
                <w:rFonts w:hint="eastAsia" w:ascii="Times New Roman" w:hAnsi="Times New Roman" w:eastAsia="楷体_GB2312"/>
                <w:b/>
                <w:color w:val="333333"/>
                <w:kern w:val="0"/>
                <w:sz w:val="24"/>
                <w:szCs w:val="24"/>
                <w:u w:val="single"/>
              </w:rPr>
              <w:t>及</w:t>
            </w:r>
            <w:r>
              <w:rPr>
                <w:rFonts w:ascii="Times New Roman" w:hAnsi="Times New Roman" w:eastAsia="楷体_GB2312"/>
                <w:b/>
                <w:color w:val="333333"/>
                <w:kern w:val="0"/>
                <w:sz w:val="24"/>
                <w:szCs w:val="24"/>
                <w:u w:val="single"/>
              </w:rPr>
              <w:t>市场份额：</w:t>
            </w:r>
          </w:p>
          <w:p>
            <w:pPr>
              <w:pStyle w:val="12"/>
              <w:numPr>
                <w:ilvl w:val="0"/>
                <w:numId w:val="1"/>
              </w:numPr>
              <w:spacing w:line="500" w:lineRule="exact"/>
              <w:ind w:firstLineChars="0"/>
              <w:rPr>
                <w:rFonts w:ascii="Times New Roman" w:hAnsi="Times New Roman" w:eastAsia="楷体_GB2312"/>
                <w:color w:val="333333"/>
                <w:kern w:val="0"/>
                <w:sz w:val="24"/>
                <w:szCs w:val="24"/>
              </w:rPr>
            </w:pPr>
            <w:r>
              <w:rPr>
                <w:rFonts w:hint="eastAsia" w:ascii="Times New Roman" w:hAnsi="Times New Roman" w:eastAsia="楷体_GB2312"/>
                <w:color w:val="333333"/>
                <w:kern w:val="0"/>
                <w:sz w:val="24"/>
                <w:szCs w:val="24"/>
              </w:rPr>
              <w:t>上海商品住宅开发销售市场</w:t>
            </w:r>
            <w:r>
              <w:rPr>
                <w:rFonts w:ascii="Times New Roman" w:hAnsi="Times New Roman" w:eastAsia="楷体_GB2312"/>
                <w:color w:val="333333"/>
                <w:kern w:val="0"/>
                <w:sz w:val="24"/>
                <w:szCs w:val="24"/>
              </w:rPr>
              <w:t>:</w:t>
            </w:r>
          </w:p>
          <w:p>
            <w:pPr>
              <w:pStyle w:val="12"/>
              <w:spacing w:line="500" w:lineRule="exact"/>
              <w:ind w:left="360" w:firstLine="0" w:firstLineChars="0"/>
              <w:rPr>
                <w:rFonts w:ascii="Times New Roman" w:hAnsi="Times New Roman" w:eastAsia="楷体_GB2312"/>
                <w:color w:val="333333"/>
                <w:kern w:val="0"/>
                <w:sz w:val="24"/>
                <w:szCs w:val="24"/>
              </w:rPr>
            </w:pPr>
            <w:r>
              <w:rPr>
                <w:rFonts w:hint="eastAsia" w:ascii="Times New Roman" w:hAnsi="Times New Roman" w:eastAsia="楷体_GB2312"/>
                <w:color w:val="333333"/>
                <w:kern w:val="0"/>
                <w:sz w:val="24"/>
                <w:szCs w:val="24"/>
              </w:rPr>
              <w:t>中华企业</w:t>
            </w:r>
            <w:r>
              <w:rPr>
                <w:rFonts w:ascii="Times New Roman" w:hAnsi="Times New Roman" w:eastAsia="楷体_GB2312"/>
                <w:color w:val="333333"/>
                <w:kern w:val="0"/>
                <w:sz w:val="24"/>
                <w:szCs w:val="24"/>
              </w:rPr>
              <w:t>：[0-5]%</w:t>
            </w:r>
          </w:p>
          <w:p>
            <w:pPr>
              <w:pStyle w:val="12"/>
              <w:spacing w:line="500" w:lineRule="exact"/>
              <w:ind w:left="360" w:firstLine="0" w:firstLineChars="0"/>
              <w:rPr>
                <w:rFonts w:ascii="Times New Roman" w:hAnsi="Times New Roman" w:eastAsia="楷体_GB2312"/>
                <w:color w:val="333333"/>
                <w:kern w:val="0"/>
                <w:sz w:val="24"/>
                <w:szCs w:val="24"/>
              </w:rPr>
            </w:pPr>
            <w:r>
              <w:rPr>
                <w:rFonts w:hint="eastAsia" w:ascii="Times New Roman" w:hAnsi="Times New Roman" w:eastAsia="楷体_GB2312"/>
                <w:color w:val="333333"/>
                <w:kern w:val="0"/>
                <w:sz w:val="24"/>
                <w:szCs w:val="24"/>
              </w:rPr>
              <w:t>华润置地（包括上海华合和上海华筵）：</w:t>
            </w:r>
            <w:r>
              <w:rPr>
                <w:rFonts w:ascii="Times New Roman" w:hAnsi="Times New Roman" w:eastAsia="楷体_GB2312"/>
                <w:color w:val="333333"/>
                <w:kern w:val="0"/>
                <w:sz w:val="24"/>
                <w:szCs w:val="24"/>
              </w:rPr>
              <w:t>[0-5]%</w:t>
            </w:r>
          </w:p>
          <w:p>
            <w:pPr>
              <w:pStyle w:val="12"/>
              <w:numPr>
                <w:ilvl w:val="0"/>
                <w:numId w:val="1"/>
              </w:numPr>
              <w:spacing w:line="500" w:lineRule="exact"/>
              <w:ind w:firstLineChars="0"/>
              <w:rPr>
                <w:rFonts w:ascii="Times New Roman" w:hAnsi="Times New Roman" w:eastAsia="楷体_GB2312"/>
                <w:color w:val="333333"/>
                <w:kern w:val="0"/>
                <w:sz w:val="24"/>
                <w:szCs w:val="24"/>
              </w:rPr>
            </w:pPr>
            <w:r>
              <w:rPr>
                <w:rFonts w:hint="eastAsia" w:ascii="Times New Roman" w:hAnsi="Times New Roman" w:eastAsia="楷体_GB2312"/>
                <w:color w:val="333333"/>
                <w:kern w:val="0"/>
                <w:sz w:val="24"/>
                <w:szCs w:val="24"/>
              </w:rPr>
              <w:t>上海住宅物业管理服务市场：</w:t>
            </w:r>
          </w:p>
          <w:p>
            <w:pPr>
              <w:pStyle w:val="12"/>
              <w:spacing w:line="500" w:lineRule="exact"/>
              <w:ind w:left="360" w:firstLine="0" w:firstLineChars="0"/>
              <w:rPr>
                <w:rFonts w:ascii="Times New Roman" w:hAnsi="Times New Roman" w:eastAsia="楷体_GB2312"/>
                <w:color w:val="333333"/>
                <w:kern w:val="0"/>
                <w:sz w:val="24"/>
                <w:szCs w:val="24"/>
              </w:rPr>
            </w:pPr>
            <w:r>
              <w:rPr>
                <w:rFonts w:hint="eastAsia" w:ascii="Times New Roman" w:hAnsi="Times New Roman" w:eastAsia="楷体_GB2312"/>
                <w:color w:val="333333"/>
                <w:kern w:val="0"/>
                <w:sz w:val="24"/>
                <w:szCs w:val="24"/>
              </w:rPr>
              <w:t>华润置地：</w:t>
            </w:r>
            <w:r>
              <w:rPr>
                <w:rFonts w:ascii="Times New Roman" w:hAnsi="Times New Roman" w:eastAsia="楷体_GB2312"/>
                <w:color w:val="333333"/>
                <w:kern w:val="0"/>
                <w:sz w:val="24"/>
                <w:szCs w:val="24"/>
              </w:rPr>
              <w:t>[0-5]%</w:t>
            </w:r>
          </w:p>
          <w:p>
            <w:pPr>
              <w:pStyle w:val="12"/>
              <w:numPr>
                <w:ilvl w:val="0"/>
                <w:numId w:val="1"/>
              </w:numPr>
              <w:spacing w:line="500" w:lineRule="exact"/>
              <w:ind w:firstLineChars="0"/>
              <w:rPr>
                <w:rFonts w:ascii="Times New Roman" w:hAnsi="Times New Roman" w:eastAsia="楷体_GB2312"/>
                <w:color w:val="333333"/>
                <w:kern w:val="0"/>
                <w:sz w:val="24"/>
                <w:szCs w:val="24"/>
              </w:rPr>
            </w:pPr>
            <w:r>
              <w:rPr>
                <w:rFonts w:hint="eastAsia" w:ascii="Times New Roman" w:hAnsi="Times New Roman" w:eastAsia="楷体_GB2312"/>
                <w:color w:val="333333"/>
                <w:kern w:val="0"/>
                <w:sz w:val="24"/>
                <w:szCs w:val="24"/>
              </w:rPr>
              <w:t>上海零售商业地产开发运营市场：</w:t>
            </w:r>
          </w:p>
          <w:p>
            <w:pPr>
              <w:pStyle w:val="12"/>
              <w:spacing w:line="500" w:lineRule="exact"/>
              <w:ind w:left="360" w:firstLine="0" w:firstLineChars="0"/>
              <w:rPr>
                <w:rFonts w:ascii="Times New Roman" w:hAnsi="Times New Roman" w:eastAsia="楷体_GB2312"/>
                <w:color w:val="333333"/>
                <w:kern w:val="0"/>
                <w:sz w:val="24"/>
                <w:szCs w:val="24"/>
              </w:rPr>
            </w:pPr>
            <w:r>
              <w:rPr>
                <w:rFonts w:hint="eastAsia" w:ascii="Times New Roman" w:hAnsi="Times New Roman" w:eastAsia="楷体_GB2312"/>
                <w:color w:val="333333"/>
                <w:kern w:val="0"/>
                <w:sz w:val="24"/>
                <w:szCs w:val="24"/>
              </w:rPr>
              <w:t>信德集团</w:t>
            </w:r>
            <w:r>
              <w:rPr>
                <w:rFonts w:ascii="Times New Roman" w:hAnsi="Times New Roman" w:eastAsia="楷体_GB2312"/>
                <w:color w:val="333333"/>
                <w:kern w:val="0"/>
                <w:sz w:val="24"/>
                <w:szCs w:val="24"/>
              </w:rPr>
              <w:t>：[0-5]%</w:t>
            </w:r>
            <w:bookmarkStart w:id="0" w:name="_GoBack"/>
            <w:bookmarkEnd w:id="0"/>
          </w:p>
          <w:p>
            <w:pPr>
              <w:pStyle w:val="12"/>
              <w:spacing w:line="500" w:lineRule="exact"/>
              <w:ind w:left="360" w:firstLine="0" w:firstLineChars="0"/>
              <w:rPr>
                <w:rFonts w:ascii="Times New Roman" w:hAnsi="Times New Roman" w:eastAsia="楷体_GB2312"/>
                <w:color w:val="333333"/>
                <w:kern w:val="0"/>
                <w:sz w:val="24"/>
                <w:szCs w:val="24"/>
              </w:rPr>
            </w:pPr>
            <w:r>
              <w:rPr>
                <w:rFonts w:hint="eastAsia" w:ascii="Times New Roman" w:hAnsi="Times New Roman" w:eastAsia="楷体_GB2312"/>
                <w:color w:val="333333"/>
                <w:kern w:val="0"/>
                <w:sz w:val="24"/>
                <w:szCs w:val="24"/>
              </w:rPr>
              <w:t>华润置地（包括上海华合和上海华筵）：</w:t>
            </w:r>
            <w:r>
              <w:rPr>
                <w:rFonts w:ascii="Times New Roman" w:hAnsi="Times New Roman" w:eastAsia="楷体_GB2312"/>
                <w:color w:val="333333"/>
                <w:kern w:val="0"/>
                <w:sz w:val="24"/>
                <w:szCs w:val="24"/>
              </w:rPr>
              <w:t>[0-5]%</w:t>
            </w:r>
          </w:p>
          <w:p>
            <w:pPr>
              <w:pStyle w:val="12"/>
              <w:numPr>
                <w:ilvl w:val="0"/>
                <w:numId w:val="1"/>
              </w:numPr>
              <w:spacing w:line="500" w:lineRule="exact"/>
              <w:ind w:firstLineChars="0"/>
              <w:rPr>
                <w:rFonts w:ascii="Times New Roman" w:hAnsi="Times New Roman" w:eastAsia="楷体_GB2312"/>
                <w:color w:val="333333"/>
                <w:kern w:val="0"/>
                <w:sz w:val="24"/>
                <w:szCs w:val="24"/>
              </w:rPr>
            </w:pPr>
            <w:r>
              <w:rPr>
                <w:rFonts w:hint="eastAsia" w:ascii="Times New Roman" w:hAnsi="Times New Roman" w:eastAsia="楷体_GB2312"/>
                <w:color w:val="333333"/>
                <w:kern w:val="0"/>
                <w:sz w:val="24"/>
                <w:szCs w:val="24"/>
              </w:rPr>
              <w:t>上海写字楼开发运营市场：</w:t>
            </w:r>
          </w:p>
          <w:p>
            <w:pPr>
              <w:pStyle w:val="12"/>
              <w:spacing w:line="500" w:lineRule="exact"/>
              <w:ind w:left="360" w:firstLine="0" w:firstLineChars="0"/>
              <w:rPr>
                <w:rFonts w:ascii="Times New Roman" w:hAnsi="Times New Roman" w:eastAsia="楷体_GB2312"/>
                <w:color w:val="333333"/>
                <w:kern w:val="0"/>
                <w:sz w:val="24"/>
                <w:szCs w:val="24"/>
              </w:rPr>
            </w:pPr>
            <w:r>
              <w:rPr>
                <w:rFonts w:hint="eastAsia" w:ascii="Times New Roman" w:hAnsi="Times New Roman" w:eastAsia="楷体_GB2312"/>
                <w:color w:val="333333"/>
                <w:kern w:val="0"/>
                <w:sz w:val="24"/>
                <w:szCs w:val="24"/>
              </w:rPr>
              <w:t>信德集团</w:t>
            </w:r>
            <w:r>
              <w:rPr>
                <w:rFonts w:ascii="Times New Roman" w:hAnsi="Times New Roman" w:eastAsia="楷体_GB2312"/>
                <w:color w:val="333333"/>
                <w:kern w:val="0"/>
                <w:sz w:val="24"/>
                <w:szCs w:val="24"/>
              </w:rPr>
              <w:t>：[0-5]%</w:t>
            </w:r>
          </w:p>
          <w:p>
            <w:pPr>
              <w:pStyle w:val="12"/>
              <w:spacing w:line="500" w:lineRule="exact"/>
              <w:ind w:left="360" w:firstLine="0" w:firstLineChars="0"/>
              <w:rPr>
                <w:rFonts w:ascii="Times New Roman" w:hAnsi="Times New Roman" w:eastAsia="楷体_GB2312"/>
                <w:color w:val="333333"/>
                <w:kern w:val="0"/>
                <w:sz w:val="24"/>
                <w:szCs w:val="24"/>
              </w:rPr>
            </w:pPr>
            <w:r>
              <w:rPr>
                <w:rFonts w:hint="eastAsia" w:ascii="Times New Roman" w:hAnsi="Times New Roman" w:eastAsia="楷体_GB2312"/>
                <w:color w:val="333333"/>
                <w:kern w:val="0"/>
                <w:sz w:val="24"/>
                <w:szCs w:val="24"/>
              </w:rPr>
              <w:t>华润置地（包括上海华合和上海华筵）：</w:t>
            </w:r>
            <w:r>
              <w:rPr>
                <w:rFonts w:ascii="Times New Roman" w:hAnsi="Times New Roman" w:eastAsia="楷体_GB2312"/>
                <w:color w:val="333333"/>
                <w:kern w:val="0"/>
                <w:sz w:val="24"/>
                <w:szCs w:val="24"/>
              </w:rPr>
              <w:t>[0-5]%</w:t>
            </w:r>
          </w:p>
          <w:p>
            <w:pPr>
              <w:pStyle w:val="12"/>
              <w:spacing w:line="500" w:lineRule="exact"/>
              <w:ind w:left="360" w:firstLine="0" w:firstLineChars="0"/>
              <w:rPr>
                <w:rFonts w:ascii="Times New Roman" w:hAnsi="Times New Roman" w:eastAsia="楷体_GB2312"/>
                <w:color w:val="333333"/>
                <w:kern w:val="0"/>
                <w:sz w:val="24"/>
                <w:szCs w:val="24"/>
              </w:rPr>
            </w:pPr>
            <w:r>
              <w:rPr>
                <w:rFonts w:hint="eastAsia" w:ascii="Times New Roman" w:hAnsi="Times New Roman" w:eastAsia="楷体_GB2312"/>
                <w:color w:val="333333"/>
                <w:kern w:val="0"/>
                <w:sz w:val="24"/>
                <w:szCs w:val="24"/>
              </w:rPr>
              <w:t>中华企业</w:t>
            </w:r>
            <w:r>
              <w:rPr>
                <w:rFonts w:ascii="Times New Roman" w:hAnsi="Times New Roman" w:eastAsia="楷体_GB2312"/>
                <w:color w:val="333333"/>
                <w:kern w:val="0"/>
                <w:sz w:val="24"/>
                <w:szCs w:val="24"/>
              </w:rPr>
              <w:t>：[0-5]%</w:t>
            </w:r>
          </w:p>
          <w:p>
            <w:pPr>
              <w:pStyle w:val="12"/>
              <w:numPr>
                <w:ilvl w:val="0"/>
                <w:numId w:val="1"/>
              </w:numPr>
              <w:spacing w:line="500" w:lineRule="exact"/>
              <w:ind w:firstLineChars="0"/>
              <w:rPr>
                <w:rFonts w:ascii="Times New Roman" w:hAnsi="Times New Roman" w:eastAsia="楷体_GB2312"/>
                <w:color w:val="333333"/>
                <w:kern w:val="0"/>
                <w:sz w:val="24"/>
                <w:szCs w:val="24"/>
              </w:rPr>
            </w:pPr>
            <w:r>
              <w:rPr>
                <w:rFonts w:hint="eastAsia" w:ascii="Times New Roman" w:hAnsi="Times New Roman" w:eastAsia="楷体_GB2312"/>
                <w:color w:val="333333"/>
                <w:kern w:val="0"/>
                <w:sz w:val="24"/>
                <w:szCs w:val="24"/>
              </w:rPr>
              <w:t>上海商业物业管理服务市场：</w:t>
            </w:r>
          </w:p>
          <w:p>
            <w:pPr>
              <w:pStyle w:val="12"/>
              <w:spacing w:line="500" w:lineRule="exact"/>
              <w:ind w:left="360" w:firstLine="0" w:firstLineChars="0"/>
              <w:rPr>
                <w:rFonts w:ascii="Times New Roman" w:hAnsi="Times New Roman" w:eastAsia="楷体_GB2312"/>
                <w:color w:val="333333"/>
                <w:kern w:val="0"/>
                <w:sz w:val="24"/>
                <w:szCs w:val="24"/>
              </w:rPr>
            </w:pPr>
            <w:r>
              <w:rPr>
                <w:rFonts w:hint="eastAsia" w:ascii="Times New Roman" w:hAnsi="Times New Roman" w:eastAsia="楷体_GB2312"/>
                <w:color w:val="333333"/>
                <w:kern w:val="0"/>
                <w:sz w:val="24"/>
                <w:szCs w:val="24"/>
              </w:rPr>
              <w:t>华润置地：</w:t>
            </w:r>
            <w:r>
              <w:rPr>
                <w:rFonts w:ascii="Times New Roman" w:hAnsi="Times New Roman" w:eastAsia="楷体_GB2312"/>
                <w:color w:val="333333"/>
                <w:kern w:val="0"/>
                <w:sz w:val="24"/>
                <w:szCs w:val="24"/>
              </w:rPr>
              <w:t>[0-5]%</w:t>
            </w:r>
          </w:p>
          <w:p>
            <w:pPr>
              <w:pStyle w:val="12"/>
              <w:spacing w:line="500" w:lineRule="exact"/>
              <w:ind w:left="360" w:firstLine="0" w:firstLineChars="0"/>
              <w:rPr>
                <w:rFonts w:ascii="Times New Roman" w:hAnsi="Times New Roman" w:eastAsia="楷体_GB2312"/>
                <w:color w:val="333333"/>
                <w:kern w:val="0"/>
                <w:sz w:val="24"/>
                <w:szCs w:val="24"/>
              </w:rPr>
            </w:pPr>
          </w:p>
          <w:p>
            <w:pPr>
              <w:pStyle w:val="12"/>
              <w:spacing w:line="500" w:lineRule="exact"/>
              <w:ind w:left="360" w:firstLine="0" w:firstLineChars="0"/>
              <w:rPr>
                <w:rFonts w:ascii="Times New Roman" w:hAnsi="Times New Roman" w:eastAsia="楷体_GB2312"/>
                <w:color w:val="333333"/>
                <w:kern w:val="0"/>
                <w:sz w:val="24"/>
                <w:szCs w:val="24"/>
              </w:rPr>
            </w:pPr>
          </w:p>
        </w:tc>
      </w:tr>
    </w:tbl>
    <w:p>
      <w:pPr>
        <w:snapToGrid w:val="0"/>
        <w:spacing w:line="240" w:lineRule="exact"/>
        <w:jc w:val="left"/>
        <w:rPr>
          <w:rFonts w:ascii="Times New Roman" w:hAnsi="Times New Roman" w:eastAsia="楷体_GB2312"/>
          <w:sz w:val="24"/>
          <w:szCs w:val="24"/>
        </w:rPr>
      </w:pPr>
    </w:p>
    <w:p>
      <w:pPr>
        <w:snapToGrid w:val="0"/>
        <w:spacing w:line="500" w:lineRule="exact"/>
        <w:jc w:val="left"/>
        <w:rPr>
          <w:rFonts w:ascii="Times New Roman" w:hAnsi="Times New Roman" w:eastAsia="楷体_GB2312"/>
          <w:sz w:val="24"/>
          <w:szCs w:val="24"/>
        </w:rPr>
      </w:pPr>
      <w:r>
        <w:rPr>
          <w:rFonts w:ascii="Times New Roman" w:hAnsi="Times New Roman" w:eastAsia="楷体_GB2312"/>
          <w:sz w:val="24"/>
          <w:szCs w:val="24"/>
        </w:rPr>
        <w:t>注解：</w:t>
      </w:r>
    </w:p>
    <w:p>
      <w:pPr>
        <w:snapToGrid w:val="0"/>
        <w:spacing w:line="500" w:lineRule="exact"/>
        <w:ind w:firstLine="480" w:firstLineChars="200"/>
        <w:jc w:val="left"/>
        <w:rPr>
          <w:rFonts w:ascii="Times New Roman" w:hAnsi="Times New Roman" w:eastAsia="楷体_GB2312"/>
          <w:sz w:val="24"/>
          <w:szCs w:val="24"/>
        </w:rPr>
      </w:pPr>
      <w:r>
        <w:rPr>
          <w:rFonts w:ascii="Times New Roman" w:hAnsi="Times New Roman" w:eastAsia="楷体_GB2312"/>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pPr>
        <w:spacing w:line="500" w:lineRule="exact"/>
        <w:ind w:firstLine="480" w:firstLineChars="200"/>
        <w:rPr>
          <w:rFonts w:ascii="Times New Roman" w:hAnsi="Times New Roman" w:eastAsia="楷体_GB2312"/>
          <w:sz w:val="28"/>
          <w:szCs w:val="28"/>
        </w:rPr>
      </w:pPr>
      <w:r>
        <w:rPr>
          <w:rFonts w:ascii="Times New Roman" w:hAnsi="Times New Roman" w:eastAsia="楷体_GB2312"/>
          <w:sz w:val="24"/>
          <w:szCs w:val="24"/>
        </w:rPr>
        <w:t>2、申报方申请简易案件的理由是基于第4项、第5项时，无须在备注中说明相关市场和市场份额。</w:t>
      </w:r>
      <w:r>
        <w:rPr>
          <w:rFonts w:ascii="Times New Roman" w:hAnsi="Times New Roman" w:eastAsia="楷体_GB2312"/>
          <w:sz w:val="24"/>
          <w:szCs w:val="24"/>
        </w:rPr>
        <w:br w:type="textWrapping"/>
      </w:r>
      <w:r>
        <w:rPr>
          <w:rFonts w:ascii="Times New Roman" w:hAnsi="Times New Roman" w:eastAsia="楷体_GB2312"/>
          <w:sz w:val="24"/>
          <w:szCs w:val="24"/>
        </w:rPr>
        <w:t xml:space="preserve">    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p>
      <w:pPr>
        <w:rPr>
          <w:rFonts w:ascii="Times New Roman" w:hAnsi="Times New Roman" w:eastAsia="楷体_GB2312"/>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altName w:val="Arial Unicode MS"/>
    <w:panose1 w:val="02010600030101010101"/>
    <w:charset w:val="86"/>
    <w:family w:val="auto"/>
    <w:pitch w:val="default"/>
    <w:sig w:usb0="00000000" w:usb1="00000000" w:usb2="00000016" w:usb3="00000000" w:csb0="0004000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楷体_GB2312">
    <w:altName w:val="楷体"/>
    <w:panose1 w:val="02010609030101010101"/>
    <w:charset w:val="86"/>
    <w:family w:val="modern"/>
    <w:pitch w:val="default"/>
    <w:sig w:usb0="00000000" w:usb1="00000000" w:usb2="00000010" w:usb3="00000000" w:csb0="00040001" w:csb1="00000000"/>
  </w:font>
  <w:font w:name="Arial Unicode MS">
    <w:panose1 w:val="020B0604020202020204"/>
    <w:charset w:val="86"/>
    <w:family w:val="auto"/>
    <w:pitch w:val="default"/>
    <w:sig w:usb0="FFFFFFFF" w:usb1="E9FFFFFF" w:usb2="0000003F" w:usb3="00000000" w:csb0="603F01FF" w:csb1="FFFF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73938750"/>
      <w:docPartObj>
        <w:docPartGallery w:val="AutoText"/>
      </w:docPartObj>
    </w:sdtPr>
    <w:sdtEndPr>
      <w:rPr>
        <w:rFonts w:ascii="Times New Roman" w:hAnsi="Times New Roman"/>
      </w:rPr>
    </w:sdtEndPr>
    <w:sdtContent>
      <w:p>
        <w:pPr>
          <w:pStyle w:val="5"/>
          <w:jc w:val="center"/>
          <w:rPr>
            <w:rFonts w:ascii="Times New Roman" w:hAnsi="Times New Roman"/>
          </w:rPr>
        </w:pPr>
        <w:r>
          <w:rPr>
            <w:rFonts w:ascii="Times New Roman" w:hAnsi="Times New Roman"/>
          </w:rPr>
          <w:fldChar w:fldCharType="begin"/>
        </w:r>
        <w:r>
          <w:rPr>
            <w:rFonts w:ascii="Times New Roman" w:hAnsi="Times New Roman"/>
          </w:rPr>
          <w:instrText xml:space="preserve">PAGE   \* MERGEFORMAT</w:instrText>
        </w:r>
        <w:r>
          <w:rPr>
            <w:rFonts w:ascii="Times New Roman" w:hAnsi="Times New Roman"/>
          </w:rPr>
          <w:fldChar w:fldCharType="separate"/>
        </w:r>
        <w:r>
          <w:rPr>
            <w:rFonts w:ascii="Times New Roman" w:hAnsi="Times New Roman"/>
            <w:lang w:val="zh-CN"/>
          </w:rPr>
          <w:t>3</w:t>
        </w:r>
        <w:r>
          <w:rPr>
            <w:rFonts w:ascii="Times New Roman" w:hAnsi="Times New Roman"/>
          </w:rPr>
          <w:fldChar w:fldCharType="end"/>
        </w:r>
      </w:p>
    </w:sdtContent>
  </w:sdt>
  <w:p>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2662B0F"/>
    <w:multiLevelType w:val="multilevel"/>
    <w:tmpl w:val="32662B0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37065"/>
    <w:rsid w:val="00037116"/>
    <w:rsid w:val="00055D1A"/>
    <w:rsid w:val="0009214D"/>
    <w:rsid w:val="000C0BD7"/>
    <w:rsid w:val="000D7EBA"/>
    <w:rsid w:val="000E1DFE"/>
    <w:rsid w:val="001164CD"/>
    <w:rsid w:val="001430C8"/>
    <w:rsid w:val="00154B65"/>
    <w:rsid w:val="00155592"/>
    <w:rsid w:val="00155717"/>
    <w:rsid w:val="00176997"/>
    <w:rsid w:val="001837A3"/>
    <w:rsid w:val="002278C7"/>
    <w:rsid w:val="002B5A26"/>
    <w:rsid w:val="003318B9"/>
    <w:rsid w:val="00395EA1"/>
    <w:rsid w:val="003A29D0"/>
    <w:rsid w:val="003A61DC"/>
    <w:rsid w:val="003B0096"/>
    <w:rsid w:val="003C0AEB"/>
    <w:rsid w:val="003E5DBC"/>
    <w:rsid w:val="004061E7"/>
    <w:rsid w:val="004343E6"/>
    <w:rsid w:val="004A45D9"/>
    <w:rsid w:val="004B14B2"/>
    <w:rsid w:val="004F7688"/>
    <w:rsid w:val="00503F87"/>
    <w:rsid w:val="00540377"/>
    <w:rsid w:val="00563AFD"/>
    <w:rsid w:val="005B3AC8"/>
    <w:rsid w:val="005D5573"/>
    <w:rsid w:val="005D786C"/>
    <w:rsid w:val="005E25E2"/>
    <w:rsid w:val="006467D8"/>
    <w:rsid w:val="00674E04"/>
    <w:rsid w:val="006A531B"/>
    <w:rsid w:val="006C246E"/>
    <w:rsid w:val="006D0D0E"/>
    <w:rsid w:val="006F7693"/>
    <w:rsid w:val="00710140"/>
    <w:rsid w:val="00784FAB"/>
    <w:rsid w:val="007A7644"/>
    <w:rsid w:val="007F2275"/>
    <w:rsid w:val="0081794B"/>
    <w:rsid w:val="00842A25"/>
    <w:rsid w:val="00863B9B"/>
    <w:rsid w:val="008B7D2E"/>
    <w:rsid w:val="00915F0F"/>
    <w:rsid w:val="009373A6"/>
    <w:rsid w:val="009532DF"/>
    <w:rsid w:val="00965990"/>
    <w:rsid w:val="0098690B"/>
    <w:rsid w:val="00997019"/>
    <w:rsid w:val="009A5029"/>
    <w:rsid w:val="009D38D5"/>
    <w:rsid w:val="00A53F26"/>
    <w:rsid w:val="00A64B02"/>
    <w:rsid w:val="00AA00C2"/>
    <w:rsid w:val="00AA0CC5"/>
    <w:rsid w:val="00AC43AC"/>
    <w:rsid w:val="00AF32F5"/>
    <w:rsid w:val="00B16AFE"/>
    <w:rsid w:val="00B34B9F"/>
    <w:rsid w:val="00B65DD5"/>
    <w:rsid w:val="00BD10B6"/>
    <w:rsid w:val="00C06588"/>
    <w:rsid w:val="00C07076"/>
    <w:rsid w:val="00C35D54"/>
    <w:rsid w:val="00C35EDD"/>
    <w:rsid w:val="00C625D6"/>
    <w:rsid w:val="00C863D1"/>
    <w:rsid w:val="00C93EE3"/>
    <w:rsid w:val="00CB00DF"/>
    <w:rsid w:val="00CD5AD2"/>
    <w:rsid w:val="00D4291D"/>
    <w:rsid w:val="00D73C72"/>
    <w:rsid w:val="00DA4265"/>
    <w:rsid w:val="00E0592B"/>
    <w:rsid w:val="00E06614"/>
    <w:rsid w:val="00E11B10"/>
    <w:rsid w:val="00E27EC9"/>
    <w:rsid w:val="00E31738"/>
    <w:rsid w:val="00E86786"/>
    <w:rsid w:val="00EB61AD"/>
    <w:rsid w:val="00ED2F80"/>
    <w:rsid w:val="00EF42DD"/>
    <w:rsid w:val="00F10E7C"/>
    <w:rsid w:val="00F1624E"/>
    <w:rsid w:val="00F32F8A"/>
    <w:rsid w:val="00F331B0"/>
    <w:rsid w:val="00F810AA"/>
    <w:rsid w:val="00F87AF0"/>
    <w:rsid w:val="00F91A2E"/>
    <w:rsid w:val="00F94E15"/>
    <w:rsid w:val="00FB43EC"/>
    <w:rsid w:val="00FB6B40"/>
    <w:rsid w:val="556852AD"/>
    <w:rsid w:val="5FA00A5F"/>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7">
    <w:name w:val="Default Paragraph Font"/>
    <w:semiHidden/>
    <w:unhideWhenUsed/>
    <w:uiPriority w:val="1"/>
  </w:style>
  <w:style w:type="table" w:default="1" w:styleId="9">
    <w:name w:val="Normal Table"/>
    <w:semiHidden/>
    <w:unhideWhenUsed/>
    <w:uiPriority w:val="99"/>
    <w:tblPr>
      <w:tblLayout w:type="fixed"/>
      <w:tblCellMar>
        <w:top w:w="0" w:type="dxa"/>
        <w:left w:w="108" w:type="dxa"/>
        <w:bottom w:w="0" w:type="dxa"/>
        <w:right w:w="108" w:type="dxa"/>
      </w:tblCellMar>
    </w:tblPr>
  </w:style>
  <w:style w:type="paragraph" w:styleId="2">
    <w:name w:val="annotation subject"/>
    <w:basedOn w:val="3"/>
    <w:next w:val="3"/>
    <w:link w:val="15"/>
    <w:semiHidden/>
    <w:unhideWhenUsed/>
    <w:qFormat/>
    <w:uiPriority w:val="99"/>
    <w:rPr>
      <w:b/>
      <w:bCs/>
    </w:rPr>
  </w:style>
  <w:style w:type="paragraph" w:styleId="3">
    <w:name w:val="annotation text"/>
    <w:basedOn w:val="1"/>
    <w:link w:val="14"/>
    <w:semiHidden/>
    <w:unhideWhenUsed/>
    <w:qFormat/>
    <w:uiPriority w:val="99"/>
    <w:pPr>
      <w:jc w:val="left"/>
    </w:pPr>
  </w:style>
  <w:style w:type="paragraph" w:styleId="4">
    <w:name w:val="Balloon Text"/>
    <w:basedOn w:val="1"/>
    <w:link w:val="13"/>
    <w:semiHidden/>
    <w:unhideWhenUsed/>
    <w:qFormat/>
    <w:uiPriority w:val="99"/>
    <w:rPr>
      <w:sz w:val="18"/>
      <w:szCs w:val="18"/>
    </w:rPr>
  </w:style>
  <w:style w:type="paragraph" w:styleId="5">
    <w:name w:val="footer"/>
    <w:basedOn w:val="1"/>
    <w:link w:val="11"/>
    <w:unhideWhenUsed/>
    <w:uiPriority w:val="99"/>
    <w:pPr>
      <w:tabs>
        <w:tab w:val="center" w:pos="4153"/>
        <w:tab w:val="right" w:pos="8306"/>
      </w:tabs>
      <w:snapToGrid w:val="0"/>
      <w:jc w:val="left"/>
    </w:pPr>
    <w:rPr>
      <w:sz w:val="18"/>
      <w:szCs w:val="18"/>
    </w:rPr>
  </w:style>
  <w:style w:type="paragraph" w:styleId="6">
    <w:name w:val="header"/>
    <w:basedOn w:val="1"/>
    <w:link w:val="10"/>
    <w:unhideWhenUsed/>
    <w:uiPriority w:val="99"/>
    <w:pPr>
      <w:pBdr>
        <w:bottom w:val="single" w:color="auto" w:sz="6" w:space="1"/>
      </w:pBdr>
      <w:tabs>
        <w:tab w:val="center" w:pos="4153"/>
        <w:tab w:val="right" w:pos="8306"/>
      </w:tabs>
      <w:snapToGrid w:val="0"/>
      <w:jc w:val="center"/>
    </w:pPr>
    <w:rPr>
      <w:sz w:val="18"/>
      <w:szCs w:val="18"/>
    </w:rPr>
  </w:style>
  <w:style w:type="character" w:styleId="8">
    <w:name w:val="annotation reference"/>
    <w:basedOn w:val="7"/>
    <w:semiHidden/>
    <w:unhideWhenUsed/>
    <w:qFormat/>
    <w:uiPriority w:val="99"/>
    <w:rPr>
      <w:sz w:val="21"/>
      <w:szCs w:val="21"/>
    </w:rPr>
  </w:style>
  <w:style w:type="character" w:customStyle="1" w:styleId="10">
    <w:name w:val="页眉 字符"/>
    <w:basedOn w:val="7"/>
    <w:link w:val="6"/>
    <w:uiPriority w:val="99"/>
    <w:rPr>
      <w:rFonts w:ascii="Calibri" w:hAnsi="Calibri" w:eastAsia="宋体" w:cs="Times New Roman"/>
      <w:sz w:val="18"/>
      <w:szCs w:val="18"/>
    </w:rPr>
  </w:style>
  <w:style w:type="character" w:customStyle="1" w:styleId="11">
    <w:name w:val="页脚 字符"/>
    <w:basedOn w:val="7"/>
    <w:link w:val="5"/>
    <w:qFormat/>
    <w:uiPriority w:val="99"/>
    <w:rPr>
      <w:rFonts w:ascii="Calibri" w:hAnsi="Calibri" w:eastAsia="宋体" w:cs="Times New Roman"/>
      <w:sz w:val="18"/>
      <w:szCs w:val="18"/>
    </w:rPr>
  </w:style>
  <w:style w:type="paragraph" w:styleId="12">
    <w:name w:val="List Paragraph"/>
    <w:basedOn w:val="1"/>
    <w:qFormat/>
    <w:uiPriority w:val="34"/>
    <w:pPr>
      <w:ind w:firstLine="420" w:firstLineChars="200"/>
    </w:pPr>
  </w:style>
  <w:style w:type="character" w:customStyle="1" w:styleId="13">
    <w:name w:val="批注框文本 字符"/>
    <w:basedOn w:val="7"/>
    <w:link w:val="4"/>
    <w:semiHidden/>
    <w:qFormat/>
    <w:uiPriority w:val="99"/>
    <w:rPr>
      <w:rFonts w:ascii="Calibri" w:hAnsi="Calibri" w:eastAsia="宋体" w:cs="Times New Roman"/>
      <w:sz w:val="18"/>
      <w:szCs w:val="18"/>
    </w:rPr>
  </w:style>
  <w:style w:type="character" w:customStyle="1" w:styleId="14">
    <w:name w:val="批注文字 字符"/>
    <w:basedOn w:val="7"/>
    <w:link w:val="3"/>
    <w:semiHidden/>
    <w:qFormat/>
    <w:uiPriority w:val="99"/>
    <w:rPr>
      <w:rFonts w:ascii="Calibri" w:hAnsi="Calibri" w:eastAsia="宋体" w:cs="Times New Roman"/>
    </w:rPr>
  </w:style>
  <w:style w:type="character" w:customStyle="1" w:styleId="15">
    <w:name w:val="批注主题 字符"/>
    <w:basedOn w:val="14"/>
    <w:link w:val="2"/>
    <w:semiHidden/>
    <w:qFormat/>
    <w:uiPriority w:val="99"/>
    <w:rPr>
      <w:rFonts w:ascii="Calibri" w:hAnsi="Calibri" w:eastAsia="宋体" w:cs="Times New Roman"/>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243</Words>
  <Characters>1390</Characters>
  <Lines>11</Lines>
  <Paragraphs>3</Paragraphs>
  <TotalTime>6</TotalTime>
  <ScaleCrop>false</ScaleCrop>
  <LinksUpToDate>false</LinksUpToDate>
  <CharactersWithSpaces>1630</CharactersWithSpaces>
  <Application>WPS Office_10.8.2.7129_F1E327BC-269C-435d-A152-05C5408002CA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2019-12-12T06:57:00Z</dcterms:created>
  <dc:creator>陈媚</dc:creator>
  <cp:lastModifiedBy>user</cp:lastModifiedBy>
  <dcterms:modified xsi:type="dcterms:W3CDTF">2020-01-17T08:16:03Z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2052-10.8.2.7129</vt:lpwstr>
  </property>
</Properties>
</file>