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黑体" w:hAnsi="Times New Roman" w:eastAsia="黑体"/>
          <w:sz w:val="30"/>
          <w:szCs w:val="30"/>
        </w:rPr>
      </w:pPr>
      <w:r>
        <w:rPr>
          <w:rFonts w:hint="eastAsia" w:ascii="黑体" w:hAnsi="Times New Roman" w:eastAsia="黑体"/>
          <w:sz w:val="30"/>
          <w:szCs w:val="30"/>
        </w:rPr>
        <w:t>经营者集中简易案件公示表</w:t>
      </w:r>
    </w:p>
    <w:p>
      <w:pPr>
        <w:spacing w:line="440" w:lineRule="exact"/>
        <w:rPr>
          <w:rFonts w:ascii="黑体" w:hAnsi="Times New Roman" w:eastAsia="黑体"/>
          <w:sz w:val="28"/>
          <w:szCs w:val="28"/>
        </w:rPr>
      </w:pPr>
    </w:p>
    <w:p>
      <w:pPr>
        <w:spacing w:line="440" w:lineRule="exact"/>
        <w:ind w:firstLine="845" w:firstLineChars="302"/>
        <w:rPr>
          <w:rFonts w:ascii="仿宋_GB2312" w:hAnsi="Times New Roman" w:eastAsia="仿宋_GB2312"/>
          <w:sz w:val="28"/>
          <w:szCs w:val="28"/>
        </w:rPr>
      </w:pPr>
    </w:p>
    <w:tbl>
      <w:tblPr>
        <w:tblStyle w:val="7"/>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2782"/>
        <w:gridCol w:w="41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案件名称</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厦门海沧发展集团有限公司收购广州美维电子有限公司等4家公司股权案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交易概况</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（限200字内）</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厦门海发拟收购迅达科技中国有限公司下属上海美维电子，上海美维科技，上海凯思尔电子和广州美维电子4家公司100%股权，并获得对4家目标公司的单方控制权。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参与集中的</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经营者简介</w:t>
            </w:r>
          </w:p>
        </w:tc>
        <w:tc>
          <w:tcPr>
            <w:tcW w:w="2782"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 xml:space="preserve">1、厦门海沧发展集团有限公司（“厦门海发”）  </w:t>
            </w:r>
          </w:p>
        </w:tc>
        <w:tc>
          <w:tcPr>
            <w:tcW w:w="4167" w:type="dxa"/>
          </w:tcPr>
          <w:p>
            <w:pPr>
              <w:spacing w:line="500" w:lineRule="exact"/>
              <w:rPr>
                <w:rFonts w:ascii="仿宋" w:hAnsi="仿宋" w:cs="宋体"/>
                <w:color w:val="333333"/>
                <w:kern w:val="0"/>
                <w:sz w:val="24"/>
                <w:szCs w:val="24"/>
              </w:rPr>
            </w:pPr>
            <w:r>
              <w:rPr>
                <w:rFonts w:hint="eastAsia" w:ascii="仿宋" w:hAnsi="仿宋" w:eastAsia="仿宋" w:cs="宋体"/>
                <w:color w:val="333333"/>
                <w:kern w:val="0"/>
                <w:sz w:val="24"/>
                <w:szCs w:val="24"/>
              </w:rPr>
              <w:t>厦门海发专注于集成电路、生物医药、新能源与新材料等产业发展与服务，主要包括产业投资与企业服务、载体招商与运营管理、产业配套服务三大业务板块。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2782"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 xml:space="preserve">2、广州美维电子有限公司（广州美维电子）、上海美维电子有限公司（上海美维电子）、上海凯思尔电子有限公司（上海凯思尔电子）、上海美维科技有限公司（上海美维科技）  </w:t>
            </w:r>
            <w:r>
              <w:rPr>
                <w:rFonts w:hint="eastAsia" w:ascii="仿宋" w:hAnsi="仿宋" w:eastAsia="仿宋" w:cs="宋体"/>
                <w:b/>
                <w:bCs/>
                <w:color w:val="333333"/>
                <w:kern w:val="0"/>
                <w:sz w:val="24"/>
                <w:szCs w:val="24"/>
              </w:rPr>
              <w:t>（以上合称为“目标公司”）</w:t>
            </w:r>
          </w:p>
        </w:tc>
        <w:tc>
          <w:tcPr>
            <w:tcW w:w="4167"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上海美维电子，上海美维科技和广州美维电子主要根据客户设计需求从事印刷电路板</w:t>
            </w:r>
            <w:r>
              <w:rPr>
                <w:rFonts w:hint="default" w:ascii="仿宋" w:hAnsi="仿宋" w:eastAsia="仿宋" w:cs="宋体"/>
                <w:color w:val="333333"/>
                <w:kern w:val="0"/>
                <w:sz w:val="24"/>
                <w:szCs w:val="24"/>
              </w:rPr>
              <w:t>和</w:t>
            </w:r>
            <w:r>
              <w:rPr>
                <w:rFonts w:hint="default" w:ascii="Times New Roman" w:hAnsi="Times New Roman" w:eastAsia="宋体" w:cs="Times New Roman"/>
                <w:color w:val="333333"/>
                <w:kern w:val="0"/>
                <w:sz w:val="24"/>
                <w:szCs w:val="24"/>
              </w:rPr>
              <w:t>IC</w:t>
            </w:r>
            <w:r>
              <w:rPr>
                <w:rFonts w:hint="default" w:ascii="仿宋" w:hAnsi="仿宋" w:eastAsia="仿宋" w:cs="宋体"/>
                <w:color w:val="333333"/>
                <w:kern w:val="0"/>
                <w:sz w:val="24"/>
                <w:szCs w:val="24"/>
              </w:rPr>
              <w:t>基</w:t>
            </w:r>
            <w:r>
              <w:rPr>
                <w:rFonts w:hint="eastAsia" w:ascii="仿宋" w:hAnsi="仿宋" w:eastAsia="仿宋" w:cs="宋体"/>
                <w:color w:val="333333"/>
                <w:kern w:val="0"/>
                <w:sz w:val="24"/>
                <w:szCs w:val="24"/>
              </w:rPr>
              <w:t>板的制造业务，上海凯思尔电子在集团内部为上述公司提供印刷电路板的钻孔和布线业务。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简易案件理由（可以单选，也可以多选）</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sym w:font="Wingdings 2" w:char="0052"/>
            </w:r>
            <w:r>
              <w:rPr>
                <w:rFonts w:hint="eastAsia" w:ascii="仿宋" w:hAnsi="仿宋" w:eastAsia="仿宋"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sym w:font="Wingdings 2" w:char="00A3"/>
            </w:r>
            <w:r>
              <w:rPr>
                <w:rFonts w:hint="eastAsia" w:ascii="仿宋" w:hAnsi="仿宋" w:eastAsia="仿宋"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备注</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相关市场界定及市场份额</w:t>
            </w:r>
          </w:p>
          <w:p>
            <w:pPr>
              <w:numPr>
                <w:ilvl w:val="0"/>
                <w:numId w:val="1"/>
              </w:numPr>
              <w:spacing w:line="500" w:lineRule="exact"/>
              <w:rPr>
                <w:rFonts w:ascii="仿宋" w:hAnsi="仿宋" w:eastAsia="仿宋" w:cs="宋体"/>
                <w:b/>
                <w:bCs/>
                <w:color w:val="333333"/>
                <w:kern w:val="0"/>
                <w:sz w:val="24"/>
                <w:szCs w:val="24"/>
              </w:rPr>
            </w:pPr>
            <w:r>
              <w:rPr>
                <w:rFonts w:hint="eastAsia" w:ascii="仿宋" w:hAnsi="仿宋" w:eastAsia="仿宋" w:cs="宋体"/>
                <w:b/>
                <w:bCs/>
                <w:color w:val="333333"/>
                <w:kern w:val="0"/>
                <w:sz w:val="24"/>
                <w:szCs w:val="24"/>
              </w:rPr>
              <w:t>柔性电路板市场</w:t>
            </w:r>
          </w:p>
          <w:p>
            <w:pPr>
              <w:tabs>
                <w:tab w:val="left" w:pos="312"/>
              </w:tabs>
              <w:spacing w:line="500" w:lineRule="exact"/>
              <w:rPr>
                <w:rFonts w:ascii="仿宋" w:hAnsi="仿宋" w:eastAsia="仿宋" w:cs="宋体"/>
                <w:b/>
                <w:bCs/>
                <w:color w:val="333333"/>
                <w:kern w:val="0"/>
                <w:sz w:val="24"/>
                <w:szCs w:val="24"/>
              </w:rPr>
            </w:pPr>
            <w:r>
              <w:rPr>
                <w:rFonts w:hint="eastAsia" w:ascii="仿宋" w:hAnsi="仿宋" w:eastAsia="仿宋" w:cs="宋体"/>
                <w:b/>
                <w:bCs/>
                <w:color w:val="333333"/>
                <w:kern w:val="0"/>
                <w:sz w:val="24"/>
                <w:szCs w:val="24"/>
              </w:rPr>
              <w:t>（1）全球份额</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目标公司：[</w:t>
            </w:r>
            <w:r>
              <w:rPr>
                <w:rFonts w:ascii="仿宋" w:hAnsi="仿宋" w:eastAsia="仿宋" w:cs="宋体"/>
                <w:color w:val="333333"/>
                <w:kern w:val="0"/>
                <w:sz w:val="24"/>
                <w:szCs w:val="24"/>
              </w:rPr>
              <w:t>0</w:t>
            </w: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5</w:t>
            </w:r>
            <w:r>
              <w:rPr>
                <w:rFonts w:hint="eastAsia" w:ascii="仿宋" w:hAnsi="仿宋" w:eastAsia="仿宋" w:cs="宋体"/>
                <w:color w:val="333333"/>
                <w:kern w:val="0"/>
                <w:sz w:val="24"/>
                <w:szCs w:val="24"/>
              </w:rPr>
              <w:t>%]</w:t>
            </w:r>
          </w:p>
          <w:p>
            <w:pPr>
              <w:spacing w:line="500" w:lineRule="exact"/>
              <w:rPr>
                <w:rFonts w:hint="eastAsia" w:ascii="仿宋" w:hAnsi="仿宋" w:eastAsia="仿宋" w:cs="宋体"/>
                <w:color w:val="333333"/>
                <w:kern w:val="0"/>
                <w:sz w:val="24"/>
                <w:szCs w:val="24"/>
              </w:rPr>
            </w:pPr>
            <w:r>
              <w:rPr>
                <w:rFonts w:hint="eastAsia" w:ascii="仿宋" w:hAnsi="仿宋" w:eastAsia="仿宋" w:cs="宋体"/>
                <w:color w:val="333333"/>
                <w:kern w:val="0"/>
                <w:sz w:val="24"/>
                <w:szCs w:val="24"/>
              </w:rPr>
              <w:t>厦门海发（厦门金柏）：[</w:t>
            </w:r>
            <w:r>
              <w:rPr>
                <w:rFonts w:ascii="仿宋" w:hAnsi="仿宋" w:eastAsia="仿宋" w:cs="宋体"/>
                <w:color w:val="333333"/>
                <w:kern w:val="0"/>
                <w:sz w:val="24"/>
                <w:szCs w:val="24"/>
              </w:rPr>
              <w:t>0</w:t>
            </w: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5</w:t>
            </w:r>
            <w:r>
              <w:rPr>
                <w:rFonts w:hint="eastAsia" w:ascii="仿宋" w:hAnsi="仿宋" w:eastAsia="仿宋" w:cs="宋体"/>
                <w:color w:val="333333"/>
                <w:kern w:val="0"/>
                <w:sz w:val="24"/>
                <w:szCs w:val="24"/>
              </w:rPr>
              <w:t>%]</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集中双方合计：[</w:t>
            </w:r>
            <w:r>
              <w:rPr>
                <w:rFonts w:ascii="仿宋" w:hAnsi="仿宋" w:eastAsia="仿宋" w:cs="宋体"/>
                <w:color w:val="333333"/>
                <w:kern w:val="0"/>
                <w:sz w:val="24"/>
                <w:szCs w:val="24"/>
              </w:rPr>
              <w:t>0</w:t>
            </w: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5</w:t>
            </w:r>
            <w:r>
              <w:rPr>
                <w:rFonts w:hint="eastAsia" w:ascii="仿宋" w:hAnsi="仿宋" w:eastAsia="仿宋" w:cs="宋体"/>
                <w:color w:val="333333"/>
                <w:kern w:val="0"/>
                <w:sz w:val="24"/>
                <w:szCs w:val="24"/>
              </w:rPr>
              <w:t>%]</w:t>
            </w:r>
          </w:p>
          <w:p>
            <w:pPr>
              <w:spacing w:line="500" w:lineRule="exact"/>
              <w:rPr>
                <w:rFonts w:ascii="仿宋" w:hAnsi="仿宋" w:eastAsia="仿宋" w:cs="宋体"/>
                <w:b/>
                <w:bCs/>
                <w:color w:val="333333"/>
                <w:kern w:val="0"/>
                <w:sz w:val="24"/>
                <w:szCs w:val="24"/>
              </w:rPr>
            </w:pPr>
            <w:r>
              <w:rPr>
                <w:rFonts w:hint="eastAsia" w:ascii="仿宋" w:hAnsi="仿宋" w:eastAsia="仿宋" w:cs="宋体"/>
                <w:b/>
                <w:bCs/>
                <w:color w:val="333333"/>
                <w:kern w:val="0"/>
                <w:sz w:val="24"/>
                <w:szCs w:val="24"/>
              </w:rPr>
              <w:t>（2）中国份额</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目标公司：[</w:t>
            </w:r>
            <w:r>
              <w:rPr>
                <w:rFonts w:ascii="仿宋" w:hAnsi="仿宋" w:eastAsia="仿宋" w:cs="宋体"/>
                <w:color w:val="333333"/>
                <w:kern w:val="0"/>
                <w:sz w:val="24"/>
                <w:szCs w:val="24"/>
              </w:rPr>
              <w:t>0</w:t>
            </w: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5</w:t>
            </w:r>
            <w:r>
              <w:rPr>
                <w:rFonts w:hint="eastAsia" w:ascii="仿宋" w:hAnsi="仿宋" w:eastAsia="仿宋" w:cs="宋体"/>
                <w:color w:val="333333"/>
                <w:kern w:val="0"/>
                <w:sz w:val="24"/>
                <w:szCs w:val="24"/>
              </w:rPr>
              <w:t>%]</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厦门海发（厦门金柏）：[</w:t>
            </w:r>
            <w:r>
              <w:rPr>
                <w:rFonts w:ascii="仿宋" w:hAnsi="仿宋" w:eastAsia="仿宋" w:cs="宋体"/>
                <w:color w:val="333333"/>
                <w:kern w:val="0"/>
                <w:sz w:val="24"/>
                <w:szCs w:val="24"/>
              </w:rPr>
              <w:t>0</w:t>
            </w: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5</w:t>
            </w:r>
            <w:r>
              <w:rPr>
                <w:rFonts w:hint="eastAsia" w:ascii="仿宋" w:hAnsi="仿宋" w:eastAsia="仿宋" w:cs="宋体"/>
                <w:color w:val="333333"/>
                <w:kern w:val="0"/>
                <w:sz w:val="24"/>
                <w:szCs w:val="24"/>
              </w:rPr>
              <w:t>%]</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集中双方合计：[</w:t>
            </w:r>
            <w:r>
              <w:rPr>
                <w:rFonts w:ascii="仿宋" w:hAnsi="仿宋" w:eastAsia="仿宋" w:cs="宋体"/>
                <w:color w:val="333333"/>
                <w:kern w:val="0"/>
                <w:sz w:val="24"/>
                <w:szCs w:val="24"/>
              </w:rPr>
              <w:t>0</w:t>
            </w: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5</w:t>
            </w:r>
            <w:r>
              <w:rPr>
                <w:rFonts w:hint="eastAsia" w:ascii="仿宋" w:hAnsi="仿宋" w:eastAsia="仿宋" w:cs="宋体"/>
                <w:color w:val="333333"/>
                <w:kern w:val="0"/>
                <w:sz w:val="24"/>
                <w:szCs w:val="24"/>
              </w:rPr>
              <w:t>%]</w:t>
            </w:r>
          </w:p>
          <w:p>
            <w:pPr>
              <w:numPr>
                <w:ilvl w:val="0"/>
                <w:numId w:val="1"/>
              </w:numPr>
              <w:spacing w:line="500" w:lineRule="exact"/>
              <w:rPr>
                <w:rFonts w:ascii="仿宋" w:hAnsi="仿宋" w:eastAsia="仿宋" w:cs="宋体"/>
                <w:b/>
                <w:bCs/>
                <w:color w:val="333333"/>
                <w:kern w:val="0"/>
                <w:sz w:val="24"/>
                <w:szCs w:val="24"/>
              </w:rPr>
            </w:pPr>
            <w:r>
              <w:rPr>
                <w:rFonts w:hint="eastAsia" w:ascii="仿宋" w:hAnsi="仿宋" w:eastAsia="仿宋" w:cs="宋体"/>
                <w:b/>
                <w:bCs/>
                <w:color w:val="333333"/>
                <w:kern w:val="0"/>
                <w:sz w:val="24"/>
                <w:szCs w:val="24"/>
              </w:rPr>
              <w:t>I</w:t>
            </w:r>
            <w:r>
              <w:rPr>
                <w:rFonts w:ascii="仿宋" w:hAnsi="仿宋" w:eastAsia="仿宋" w:cs="宋体"/>
                <w:b/>
                <w:bCs/>
                <w:color w:val="333333"/>
                <w:kern w:val="0"/>
                <w:sz w:val="24"/>
                <w:szCs w:val="24"/>
              </w:rPr>
              <w:t>C</w:t>
            </w:r>
            <w:r>
              <w:rPr>
                <w:rFonts w:hint="eastAsia" w:ascii="仿宋" w:hAnsi="仿宋" w:eastAsia="仿宋" w:cs="宋体"/>
                <w:b/>
                <w:bCs/>
                <w:color w:val="333333"/>
                <w:kern w:val="0"/>
                <w:sz w:val="24"/>
                <w:szCs w:val="24"/>
              </w:rPr>
              <w:t>基板市场</w:t>
            </w:r>
          </w:p>
          <w:p>
            <w:pPr>
              <w:tabs>
                <w:tab w:val="left" w:pos="312"/>
              </w:tabs>
              <w:spacing w:line="500" w:lineRule="exact"/>
              <w:rPr>
                <w:rFonts w:ascii="仿宋" w:hAnsi="仿宋" w:eastAsia="仿宋" w:cs="宋体"/>
                <w:b/>
                <w:bCs/>
                <w:color w:val="333333"/>
                <w:kern w:val="0"/>
                <w:sz w:val="24"/>
                <w:szCs w:val="24"/>
              </w:rPr>
            </w:pPr>
            <w:r>
              <w:rPr>
                <w:rFonts w:hint="eastAsia" w:ascii="仿宋" w:hAnsi="仿宋" w:eastAsia="仿宋" w:cs="宋体"/>
                <w:b/>
                <w:bCs/>
                <w:color w:val="333333"/>
                <w:kern w:val="0"/>
                <w:sz w:val="24"/>
                <w:szCs w:val="24"/>
              </w:rPr>
              <w:t>（1）全球份额</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目标公司：[</w:t>
            </w:r>
            <w:r>
              <w:rPr>
                <w:rFonts w:ascii="仿宋" w:hAnsi="仿宋" w:eastAsia="仿宋" w:cs="宋体"/>
                <w:color w:val="333333"/>
                <w:kern w:val="0"/>
                <w:sz w:val="24"/>
                <w:szCs w:val="24"/>
              </w:rPr>
              <w:t>0</w:t>
            </w: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5</w:t>
            </w:r>
            <w:r>
              <w:rPr>
                <w:rFonts w:hint="eastAsia" w:ascii="仿宋" w:hAnsi="仿宋" w:eastAsia="仿宋" w:cs="宋体"/>
                <w:color w:val="333333"/>
                <w:kern w:val="0"/>
                <w:sz w:val="24"/>
                <w:szCs w:val="24"/>
              </w:rPr>
              <w:t>%]</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厦门海发（厦门金柏）：[</w:t>
            </w:r>
            <w:r>
              <w:rPr>
                <w:rFonts w:ascii="仿宋" w:hAnsi="仿宋" w:eastAsia="仿宋" w:cs="宋体"/>
                <w:color w:val="333333"/>
                <w:kern w:val="0"/>
                <w:sz w:val="24"/>
                <w:szCs w:val="24"/>
              </w:rPr>
              <w:t>0</w:t>
            </w: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5</w:t>
            </w:r>
            <w:r>
              <w:rPr>
                <w:rFonts w:hint="eastAsia" w:ascii="仿宋" w:hAnsi="仿宋" w:eastAsia="仿宋" w:cs="宋体"/>
                <w:color w:val="333333"/>
                <w:kern w:val="0"/>
                <w:sz w:val="24"/>
                <w:szCs w:val="24"/>
              </w:rPr>
              <w:t>%]</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集中双方合计：[</w:t>
            </w:r>
            <w:r>
              <w:rPr>
                <w:rFonts w:ascii="仿宋" w:hAnsi="仿宋" w:eastAsia="仿宋" w:cs="宋体"/>
                <w:color w:val="333333"/>
                <w:kern w:val="0"/>
                <w:sz w:val="24"/>
                <w:szCs w:val="24"/>
              </w:rPr>
              <w:t>0</w:t>
            </w: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5</w:t>
            </w:r>
            <w:r>
              <w:rPr>
                <w:rFonts w:hint="eastAsia" w:ascii="仿宋" w:hAnsi="仿宋" w:eastAsia="仿宋" w:cs="宋体"/>
                <w:color w:val="333333"/>
                <w:kern w:val="0"/>
                <w:sz w:val="24"/>
                <w:szCs w:val="24"/>
              </w:rPr>
              <w:t>%]</w:t>
            </w:r>
          </w:p>
          <w:p>
            <w:pPr>
              <w:spacing w:line="500" w:lineRule="exact"/>
              <w:rPr>
                <w:rFonts w:ascii="仿宋" w:hAnsi="仿宋" w:eastAsia="仿宋" w:cs="宋体"/>
                <w:b/>
                <w:bCs/>
                <w:color w:val="333333"/>
                <w:kern w:val="0"/>
                <w:sz w:val="24"/>
                <w:szCs w:val="24"/>
              </w:rPr>
            </w:pPr>
            <w:r>
              <w:rPr>
                <w:rFonts w:hint="eastAsia" w:ascii="仿宋" w:hAnsi="仿宋" w:eastAsia="仿宋" w:cs="宋体"/>
                <w:b/>
                <w:bCs/>
                <w:color w:val="333333"/>
                <w:kern w:val="0"/>
                <w:sz w:val="24"/>
                <w:szCs w:val="24"/>
              </w:rPr>
              <w:t>（2）中国份额</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目标公司：[</w:t>
            </w:r>
            <w:r>
              <w:rPr>
                <w:rFonts w:ascii="仿宋" w:hAnsi="仿宋" w:eastAsia="仿宋" w:cs="宋体"/>
                <w:color w:val="333333"/>
                <w:kern w:val="0"/>
                <w:sz w:val="24"/>
                <w:szCs w:val="24"/>
              </w:rPr>
              <w:t>0</w:t>
            </w: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5</w:t>
            </w:r>
            <w:r>
              <w:rPr>
                <w:rFonts w:hint="eastAsia" w:ascii="仿宋" w:hAnsi="仿宋" w:eastAsia="仿宋" w:cs="宋体"/>
                <w:color w:val="333333"/>
                <w:kern w:val="0"/>
                <w:sz w:val="24"/>
                <w:szCs w:val="24"/>
              </w:rPr>
              <w:t>%]</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厦门海发（厦门金柏）：[</w:t>
            </w:r>
            <w:r>
              <w:rPr>
                <w:rFonts w:ascii="仿宋" w:hAnsi="仿宋" w:eastAsia="仿宋" w:cs="宋体"/>
                <w:color w:val="333333"/>
                <w:kern w:val="0"/>
                <w:sz w:val="24"/>
                <w:szCs w:val="24"/>
              </w:rPr>
              <w:t>0</w:t>
            </w: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5</w:t>
            </w:r>
            <w:r>
              <w:rPr>
                <w:rFonts w:hint="eastAsia" w:ascii="仿宋" w:hAnsi="仿宋" w:eastAsia="仿宋" w:cs="宋体"/>
                <w:color w:val="333333"/>
                <w:kern w:val="0"/>
                <w:sz w:val="24"/>
                <w:szCs w:val="24"/>
              </w:rPr>
              <w:t>%]</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集中双方合计：[</w:t>
            </w:r>
            <w:r>
              <w:rPr>
                <w:rFonts w:ascii="仿宋" w:hAnsi="仿宋" w:eastAsia="仿宋" w:cs="宋体"/>
                <w:color w:val="333333"/>
                <w:kern w:val="0"/>
                <w:sz w:val="24"/>
                <w:szCs w:val="24"/>
              </w:rPr>
              <w:t>0</w:t>
            </w: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5</w:t>
            </w:r>
            <w:r>
              <w:rPr>
                <w:rFonts w:hint="eastAsia" w:ascii="仿宋" w:hAnsi="仿宋" w:eastAsia="仿宋" w:cs="宋体"/>
                <w:color w:val="333333"/>
                <w:kern w:val="0"/>
                <w:sz w:val="24"/>
                <w:szCs w:val="24"/>
              </w:rPr>
              <w:t>%]</w:t>
            </w:r>
          </w:p>
        </w:tc>
      </w:tr>
    </w:tbl>
    <w:p>
      <w:pPr>
        <w:snapToGrid w:val="0"/>
        <w:spacing w:line="240" w:lineRule="exact"/>
        <w:jc w:val="left"/>
        <w:rPr>
          <w:rFonts w:ascii="楷体_GB2312" w:hAnsi="宋体" w:eastAsia="楷体_GB2312"/>
          <w:sz w:val="24"/>
          <w:szCs w:val="24"/>
        </w:rPr>
      </w:pPr>
    </w:p>
    <w:p>
      <w:pPr>
        <w:snapToGrid w:val="0"/>
        <w:spacing w:line="240" w:lineRule="exact"/>
        <w:jc w:val="left"/>
        <w:rPr>
          <w:rFonts w:ascii="方正仿宋_GBK" w:hAnsi="宋体" w:eastAsia="方正仿宋_GBK"/>
          <w:sz w:val="24"/>
          <w:szCs w:val="24"/>
        </w:rPr>
      </w:pPr>
      <w:r>
        <w:rPr>
          <w:rFonts w:hint="eastAsia" w:ascii="方正仿宋_GBK" w:hAnsi="宋体" w:eastAsia="方正仿宋_GBK"/>
          <w:sz w:val="24"/>
          <w:szCs w:val="24"/>
        </w:rPr>
        <w:t>注解：</w:t>
      </w:r>
    </w:p>
    <w:p>
      <w:pPr>
        <w:snapToGrid w:val="0"/>
        <w:spacing w:line="360" w:lineRule="auto"/>
        <w:ind w:firstLine="480" w:firstLineChars="200"/>
        <w:jc w:val="left"/>
        <w:rPr>
          <w:rFonts w:ascii="方正仿宋_GBK" w:hAnsi="宋体" w:eastAsia="方正仿宋_GBK"/>
          <w:sz w:val="24"/>
          <w:szCs w:val="24"/>
        </w:rPr>
      </w:pPr>
      <w:r>
        <w:rPr>
          <w:rFonts w:hint="eastAsia" w:ascii="方正仿宋_GBK" w:hAnsi="宋体" w:eastAsia="方正仿宋_GBK"/>
          <w:sz w:val="24"/>
          <w:szCs w:val="24"/>
        </w:rPr>
        <w:t>1.申报方申请简易案件的理由是基于1-3项时</w:t>
      </w:r>
      <w:bookmarkStart w:id="0" w:name="_GoBack"/>
      <w:bookmarkEnd w:id="0"/>
      <w:r>
        <w:rPr>
          <w:rFonts w:hint="eastAsia" w:ascii="方正仿宋_GBK" w:hAnsi="宋体" w:eastAsia="方正仿宋_GBK"/>
          <w:sz w:val="24"/>
          <w:szCs w:val="24"/>
        </w:rPr>
        <w:t>，须在备注中说明界定的相关商品市场和相关地域市场（无须阐述界定理由），以及相关市场份额；市场份额可以区间形式提供，区间幅度不应超过5%。1-3项可以多选，也可单选；没有勾选的，视为本集中不涉及该类型交易。</w:t>
      </w:r>
    </w:p>
    <w:p>
      <w:pPr>
        <w:spacing w:line="360" w:lineRule="auto"/>
        <w:ind w:firstLine="480" w:firstLineChars="200"/>
        <w:rPr>
          <w:rFonts w:ascii="方正仿宋_GBK" w:hAnsi="Times New Roman" w:eastAsia="方正仿宋_GBK"/>
          <w:sz w:val="28"/>
          <w:szCs w:val="28"/>
        </w:rPr>
      </w:pPr>
      <w:r>
        <w:rPr>
          <w:rFonts w:hint="eastAsia" w:ascii="方正仿宋_GBK" w:hAnsi="宋体" w:eastAsia="方正仿宋_GBK"/>
          <w:sz w:val="24"/>
          <w:szCs w:val="24"/>
        </w:rPr>
        <w:t>2.申报方申请简易案件的理由是基于第4项、第5项时，无须在备注中说明相关市场和市场份额。</w:t>
      </w:r>
      <w:r>
        <w:rPr>
          <w:rFonts w:hint="eastAsia" w:ascii="方正仿宋_GBK" w:hAnsi="宋体" w:eastAsia="方正仿宋_GBK"/>
          <w:sz w:val="24"/>
          <w:szCs w:val="24"/>
        </w:rPr>
        <w:br w:type="textWrapping"/>
      </w:r>
      <w:r>
        <w:rPr>
          <w:rFonts w:hint="eastAsia" w:ascii="方正仿宋_GBK" w:hAnsi="宋体" w:eastAsia="方正仿宋_GBK"/>
          <w:sz w:val="24"/>
          <w:szCs w:val="24"/>
        </w:rP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6" w:usb3="00000000" w:csb0="00040001"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楷体_GB2312">
    <w:altName w:val="楷体"/>
    <w:panose1 w:val="00000000000000000000"/>
    <w:charset w:val="86"/>
    <w:family w:val="modern"/>
    <w:pitch w:val="default"/>
    <w:sig w:usb0="00000000" w:usb1="00000000" w:usb2="00000010" w:usb3="00000000" w:csb0="00040000" w:csb1="00000000"/>
  </w:font>
  <w:font w:name="方正仿宋_GBK">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Wingdings 2">
    <w:panose1 w:val="050201020105070707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48A2A2D"/>
    <w:multiLevelType w:val="singleLevel"/>
    <w:tmpl w:val="F48A2A2D"/>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37065"/>
    <w:rsid w:val="000D7EBA"/>
    <w:rsid w:val="001164CD"/>
    <w:rsid w:val="00155717"/>
    <w:rsid w:val="001837A3"/>
    <w:rsid w:val="0024655E"/>
    <w:rsid w:val="003946CB"/>
    <w:rsid w:val="003A3B32"/>
    <w:rsid w:val="003B5322"/>
    <w:rsid w:val="003C0AEB"/>
    <w:rsid w:val="00427AA8"/>
    <w:rsid w:val="004A761A"/>
    <w:rsid w:val="004F7688"/>
    <w:rsid w:val="005B238B"/>
    <w:rsid w:val="006467D8"/>
    <w:rsid w:val="006915F9"/>
    <w:rsid w:val="006A531B"/>
    <w:rsid w:val="006F7693"/>
    <w:rsid w:val="00710140"/>
    <w:rsid w:val="007E4018"/>
    <w:rsid w:val="007F2275"/>
    <w:rsid w:val="008D78F2"/>
    <w:rsid w:val="00915F0F"/>
    <w:rsid w:val="009532DF"/>
    <w:rsid w:val="00973D68"/>
    <w:rsid w:val="00997019"/>
    <w:rsid w:val="009A5029"/>
    <w:rsid w:val="009D38D5"/>
    <w:rsid w:val="009E6166"/>
    <w:rsid w:val="00A53F26"/>
    <w:rsid w:val="00AA0CC5"/>
    <w:rsid w:val="00B16AFE"/>
    <w:rsid w:val="00B1739B"/>
    <w:rsid w:val="00B52F0A"/>
    <w:rsid w:val="00B65DD5"/>
    <w:rsid w:val="00BD10B6"/>
    <w:rsid w:val="00C07076"/>
    <w:rsid w:val="00CB00DF"/>
    <w:rsid w:val="00D73C72"/>
    <w:rsid w:val="00E0592B"/>
    <w:rsid w:val="00E31738"/>
    <w:rsid w:val="00E86786"/>
    <w:rsid w:val="00ED2F80"/>
    <w:rsid w:val="00F1624E"/>
    <w:rsid w:val="00F32F8A"/>
    <w:rsid w:val="00F442D1"/>
    <w:rsid w:val="00F810AA"/>
    <w:rsid w:val="00FB43EC"/>
    <w:rsid w:val="00FB6B40"/>
    <w:rsid w:val="0A0F5EA2"/>
    <w:rsid w:val="0BB16A9E"/>
    <w:rsid w:val="10C90019"/>
    <w:rsid w:val="112A0729"/>
    <w:rsid w:val="17963FDC"/>
    <w:rsid w:val="2ADB6E3E"/>
    <w:rsid w:val="53663D7F"/>
    <w:rsid w:val="761830F7"/>
    <w:rsid w:val="7B44317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59" w:lineRule="auto"/>
      <w:jc w:val="both"/>
    </w:pPr>
    <w:rPr>
      <w:rFonts w:ascii="Calibri" w:hAnsi="Calibri" w:eastAsia="宋体" w:cs="Times New Roman"/>
      <w:kern w:val="2"/>
      <w:sz w:val="21"/>
      <w:szCs w:val="22"/>
      <w:lang w:val="en-US" w:eastAsia="zh-CN" w:bidi="ar-SA"/>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2"/>
    <w:semiHidden/>
    <w:unhideWhenUsed/>
    <w:qFormat/>
    <w:uiPriority w:val="99"/>
    <w:pPr>
      <w:jc w:val="left"/>
    </w:pPr>
  </w:style>
  <w:style w:type="paragraph" w:styleId="3">
    <w:name w:val="Balloon Text"/>
    <w:basedOn w:val="1"/>
    <w:link w:val="10"/>
    <w:semiHidden/>
    <w:unhideWhenUsed/>
    <w:qFormat/>
    <w:uiPriority w:val="99"/>
    <w:rPr>
      <w:rFonts w:ascii="宋体"/>
      <w:sz w:val="18"/>
      <w:szCs w:val="18"/>
    </w:rPr>
  </w:style>
  <w:style w:type="paragraph" w:styleId="4">
    <w:name w:val="footer"/>
    <w:basedOn w:val="1"/>
    <w:link w:val="15"/>
    <w:unhideWhenUsed/>
    <w:qFormat/>
    <w:uiPriority w:val="99"/>
    <w:pPr>
      <w:tabs>
        <w:tab w:val="center" w:pos="4320"/>
        <w:tab w:val="right" w:pos="8640"/>
      </w:tabs>
      <w:spacing w:after="0" w:line="240" w:lineRule="auto"/>
    </w:pPr>
  </w:style>
  <w:style w:type="paragraph" w:styleId="5">
    <w:name w:val="header"/>
    <w:basedOn w:val="1"/>
    <w:link w:val="14"/>
    <w:unhideWhenUsed/>
    <w:uiPriority w:val="99"/>
    <w:pPr>
      <w:tabs>
        <w:tab w:val="center" w:pos="4320"/>
        <w:tab w:val="right" w:pos="8640"/>
      </w:tabs>
      <w:spacing w:after="0" w:line="240" w:lineRule="auto"/>
    </w:pPr>
  </w:style>
  <w:style w:type="paragraph" w:styleId="6">
    <w:name w:val="annotation subject"/>
    <w:basedOn w:val="2"/>
    <w:next w:val="2"/>
    <w:link w:val="13"/>
    <w:semiHidden/>
    <w:unhideWhenUsed/>
    <w:uiPriority w:val="99"/>
    <w:rPr>
      <w:b/>
      <w:bCs/>
    </w:rPr>
  </w:style>
  <w:style w:type="character" w:styleId="9">
    <w:name w:val="annotation reference"/>
    <w:basedOn w:val="8"/>
    <w:semiHidden/>
    <w:unhideWhenUsed/>
    <w:qFormat/>
    <w:uiPriority w:val="99"/>
    <w:rPr>
      <w:sz w:val="21"/>
      <w:szCs w:val="21"/>
    </w:rPr>
  </w:style>
  <w:style w:type="character" w:customStyle="1" w:styleId="10">
    <w:name w:val="Balloon Text Char"/>
    <w:basedOn w:val="8"/>
    <w:link w:val="3"/>
    <w:semiHidden/>
    <w:qFormat/>
    <w:uiPriority w:val="99"/>
    <w:rPr>
      <w:rFonts w:ascii="宋体" w:hAnsi="Calibri" w:eastAsia="宋体" w:cs="Times New Roman"/>
      <w:kern w:val="2"/>
      <w:sz w:val="18"/>
      <w:szCs w:val="18"/>
    </w:rPr>
  </w:style>
  <w:style w:type="paragraph" w:styleId="11">
    <w:name w:val="List Paragraph"/>
    <w:basedOn w:val="1"/>
    <w:qFormat/>
    <w:uiPriority w:val="99"/>
    <w:pPr>
      <w:ind w:firstLine="420" w:firstLineChars="200"/>
    </w:pPr>
  </w:style>
  <w:style w:type="character" w:customStyle="1" w:styleId="12">
    <w:name w:val="Comment Text Char"/>
    <w:basedOn w:val="8"/>
    <w:link w:val="2"/>
    <w:semiHidden/>
    <w:qFormat/>
    <w:uiPriority w:val="99"/>
    <w:rPr>
      <w:rFonts w:ascii="Calibri" w:hAnsi="Calibri"/>
      <w:kern w:val="2"/>
      <w:sz w:val="21"/>
      <w:szCs w:val="22"/>
    </w:rPr>
  </w:style>
  <w:style w:type="character" w:customStyle="1" w:styleId="13">
    <w:name w:val="Comment Subject Char"/>
    <w:basedOn w:val="12"/>
    <w:link w:val="6"/>
    <w:semiHidden/>
    <w:qFormat/>
    <w:uiPriority w:val="99"/>
    <w:rPr>
      <w:rFonts w:ascii="Calibri" w:hAnsi="Calibri"/>
      <w:b/>
      <w:bCs/>
      <w:kern w:val="2"/>
      <w:sz w:val="21"/>
      <w:szCs w:val="22"/>
    </w:rPr>
  </w:style>
  <w:style w:type="character" w:customStyle="1" w:styleId="14">
    <w:name w:val="Header Char"/>
    <w:basedOn w:val="8"/>
    <w:link w:val="5"/>
    <w:uiPriority w:val="99"/>
    <w:rPr>
      <w:rFonts w:ascii="Calibri" w:hAnsi="Calibri"/>
      <w:kern w:val="2"/>
      <w:sz w:val="21"/>
      <w:szCs w:val="22"/>
    </w:rPr>
  </w:style>
  <w:style w:type="character" w:customStyle="1" w:styleId="15">
    <w:name w:val="Footer Char"/>
    <w:basedOn w:val="8"/>
    <w:link w:val="4"/>
    <w:qFormat/>
    <w:uiPriority w:val="99"/>
    <w:rPr>
      <w:rFonts w:ascii="Calibri" w:hAnsi="Calibri"/>
      <w:kern w:val="2"/>
      <w:sz w:val="21"/>
      <w:szCs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O'Melveny &amp; Myers LLP</Company>
  <Pages>4</Pages>
  <Words>216</Words>
  <Characters>1234</Characters>
  <Lines>10</Lines>
  <Paragraphs>2</Paragraphs>
  <TotalTime>1</TotalTime>
  <ScaleCrop>false</ScaleCrop>
  <LinksUpToDate>false</LinksUpToDate>
  <CharactersWithSpaces>1448</CharactersWithSpaces>
  <Application>WPS Office_11.1.0.9440_F1E327BC-269C-435d-A152-05C5408002CA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2020-01-22T02:24:00Z</dcterms:created>
  <dc:creator>陈媚</dc:creator>
  <cp:lastModifiedBy>TY</cp:lastModifiedBy>
  <dcterms:modified xsi:type="dcterms:W3CDTF">2020-02-25T01:57:35Z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