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1BFFB" w14:textId="77777777" w:rsidR="00094095" w:rsidRPr="00A35DDA" w:rsidRDefault="00094095" w:rsidP="00094095">
      <w:pPr>
        <w:spacing w:line="480" w:lineRule="exact"/>
        <w:rPr>
          <w:rFonts w:ascii="楷体" w:eastAsia="楷体" w:hAnsi="楷体"/>
          <w:sz w:val="28"/>
          <w:szCs w:val="28"/>
        </w:rPr>
      </w:pPr>
    </w:p>
    <w:p w14:paraId="43EEB35C" w14:textId="77777777" w:rsidR="00094095" w:rsidRPr="00A35DDA" w:rsidRDefault="00094095" w:rsidP="00094095">
      <w:pPr>
        <w:spacing w:line="440" w:lineRule="exact"/>
        <w:jc w:val="center"/>
        <w:rPr>
          <w:rFonts w:ascii="楷体" w:eastAsia="楷体" w:hAnsi="楷体"/>
          <w:sz w:val="30"/>
          <w:szCs w:val="30"/>
        </w:rPr>
      </w:pPr>
      <w:r w:rsidRPr="00A35DDA">
        <w:rPr>
          <w:rFonts w:ascii="楷体" w:eastAsia="楷体" w:hAnsi="楷体" w:hint="eastAsia"/>
          <w:sz w:val="30"/>
          <w:szCs w:val="30"/>
        </w:rPr>
        <w:t>经营者集中简易案件公示表</w:t>
      </w:r>
    </w:p>
    <w:p w14:paraId="3763AC96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9"/>
        <w:gridCol w:w="2097"/>
        <w:gridCol w:w="4912"/>
      </w:tblGrid>
      <w:tr w:rsidR="00205F56" w:rsidRPr="00DF1F37" w14:paraId="279A9D32" w14:textId="77777777" w:rsidTr="00907E94">
        <w:tc>
          <w:tcPr>
            <w:tcW w:w="1773" w:type="dxa"/>
            <w:shd w:val="clear" w:color="auto" w:fill="D9D9D9"/>
          </w:tcPr>
          <w:p w14:paraId="05E0BA02" w14:textId="77777777" w:rsidR="00094095" w:rsidRPr="00DF1F37" w:rsidRDefault="00094095" w:rsidP="002F2D60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t>案件名称</w:t>
            </w:r>
          </w:p>
        </w:tc>
        <w:tc>
          <w:tcPr>
            <w:tcW w:w="6985" w:type="dxa"/>
            <w:gridSpan w:val="2"/>
            <w:shd w:val="clear" w:color="auto" w:fill="auto"/>
          </w:tcPr>
          <w:p w14:paraId="194C8518" w14:textId="79FDF6AA" w:rsidR="00094095" w:rsidRPr="00BA678D" w:rsidRDefault="00387F2D" w:rsidP="00BA678D">
            <w:pPr>
              <w:snapToGrid w:val="0"/>
              <w:spacing w:line="276" w:lineRule="auto"/>
              <w:rPr>
                <w:rFonts w:ascii="Times New Roman" w:eastAsia="楷体" w:hAnsi="Times New Roman"/>
                <w:sz w:val="28"/>
                <w:szCs w:val="28"/>
                <w:lang w:val="x-none"/>
              </w:rPr>
            </w:pPr>
            <w:r w:rsidRPr="00BA678D">
              <w:rPr>
                <w:rFonts w:ascii="Times New Roman" w:eastAsia="楷体" w:hAnsi="Times New Roman" w:hint="eastAsia"/>
                <w:sz w:val="28"/>
                <w:szCs w:val="28"/>
                <w:lang w:val="x-none"/>
              </w:rPr>
              <w:t>西门子</w:t>
            </w:r>
            <w:r w:rsidR="0046277E">
              <w:rPr>
                <w:rFonts w:ascii="Times New Roman" w:eastAsia="楷体" w:hAnsi="Times New Roman" w:hint="eastAsia"/>
                <w:sz w:val="28"/>
                <w:szCs w:val="28"/>
              </w:rPr>
              <w:t>股份有限公司与</w:t>
            </w:r>
            <w:r w:rsidR="0046277E" w:rsidRPr="00BA678D">
              <w:rPr>
                <w:rFonts w:ascii="Times New Roman" w:eastAsia="楷体" w:hAnsi="Times New Roman"/>
                <w:sz w:val="28"/>
                <w:szCs w:val="28"/>
              </w:rPr>
              <w:t>Innogy Renewables UK Limited</w:t>
            </w:r>
            <w:r w:rsidRPr="00BA678D">
              <w:rPr>
                <w:rFonts w:ascii="Times New Roman" w:eastAsia="楷体" w:hAnsi="Times New Roman" w:hint="eastAsia"/>
                <w:sz w:val="28"/>
                <w:szCs w:val="28"/>
                <w:lang w:val="x-none"/>
              </w:rPr>
              <w:t>等经营者新设合营企业案</w:t>
            </w:r>
          </w:p>
        </w:tc>
      </w:tr>
      <w:tr w:rsidR="00205F56" w:rsidRPr="00DF1F37" w14:paraId="4F375DA7" w14:textId="77777777" w:rsidTr="00907E94">
        <w:trPr>
          <w:trHeight w:val="993"/>
        </w:trPr>
        <w:tc>
          <w:tcPr>
            <w:tcW w:w="1773" w:type="dxa"/>
            <w:shd w:val="clear" w:color="auto" w:fill="D9D9D9"/>
          </w:tcPr>
          <w:p w14:paraId="718D58D5" w14:textId="77777777" w:rsidR="00094095" w:rsidRPr="00DF1F37" w:rsidRDefault="00094095" w:rsidP="002F2D60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t>交易概况（限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200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字内）</w:t>
            </w:r>
          </w:p>
        </w:tc>
        <w:tc>
          <w:tcPr>
            <w:tcW w:w="6985" w:type="dxa"/>
            <w:gridSpan w:val="2"/>
            <w:shd w:val="clear" w:color="auto" w:fill="auto"/>
          </w:tcPr>
          <w:p w14:paraId="5695E321" w14:textId="11D073DE" w:rsidR="00094095" w:rsidRPr="00BA678D" w:rsidRDefault="002B1656" w:rsidP="00BA678D">
            <w:pPr>
              <w:snapToGrid w:val="0"/>
              <w:spacing w:line="276" w:lineRule="auto"/>
              <w:rPr>
                <w:rFonts w:ascii="Times New Roman" w:eastAsia="楷体" w:hAnsi="Times New Roman"/>
                <w:sz w:val="28"/>
                <w:szCs w:val="28"/>
              </w:rPr>
            </w:pPr>
            <w:r w:rsidRPr="00BA678D">
              <w:rPr>
                <w:rFonts w:ascii="Times New Roman" w:eastAsia="楷体" w:hAnsi="Times New Roman" w:hint="eastAsia"/>
                <w:sz w:val="28"/>
                <w:szCs w:val="28"/>
              </w:rPr>
              <w:t>住友商事</w:t>
            </w:r>
            <w:r w:rsidR="001621F3">
              <w:rPr>
                <w:rFonts w:ascii="Times New Roman" w:eastAsia="楷体" w:hAnsi="Times New Roman" w:hint="eastAsia"/>
                <w:sz w:val="28"/>
                <w:szCs w:val="28"/>
              </w:rPr>
              <w:t>株式会社</w:t>
            </w:r>
            <w:r w:rsidR="001E0804">
              <w:rPr>
                <w:rFonts w:ascii="Times New Roman" w:eastAsia="楷体" w:hAnsi="Times New Roman" w:hint="eastAsia"/>
                <w:sz w:val="28"/>
                <w:szCs w:val="28"/>
              </w:rPr>
              <w:t>（</w:t>
            </w:r>
            <w:r w:rsidR="001E0804">
              <w:rPr>
                <w:rFonts w:ascii="Times New Roman" w:eastAsia="楷体" w:hAnsi="Times New Roman" w:hint="eastAsia"/>
                <w:sz w:val="28"/>
                <w:szCs w:val="28"/>
              </w:rPr>
              <w:t>Sumitomo</w:t>
            </w:r>
            <w:r w:rsidR="001E0804">
              <w:rPr>
                <w:rFonts w:ascii="Times New Roman" w:eastAsia="楷体" w:hAnsi="Times New Roman"/>
                <w:sz w:val="28"/>
                <w:szCs w:val="28"/>
              </w:rPr>
              <w:t xml:space="preserve"> </w:t>
            </w:r>
            <w:r w:rsidR="001E0804">
              <w:rPr>
                <w:rFonts w:ascii="Times New Roman" w:eastAsia="楷体" w:hAnsi="Times New Roman" w:hint="eastAsia"/>
                <w:sz w:val="28"/>
                <w:szCs w:val="28"/>
              </w:rPr>
              <w:t>Corporation</w:t>
            </w:r>
            <w:r w:rsidR="001E0804">
              <w:rPr>
                <w:rFonts w:ascii="Times New Roman" w:eastAsia="楷体" w:hAnsi="Times New Roman" w:hint="eastAsia"/>
                <w:sz w:val="28"/>
                <w:szCs w:val="28"/>
              </w:rPr>
              <w:t>）</w:t>
            </w:r>
            <w:r w:rsidRPr="00BA678D">
              <w:rPr>
                <w:rFonts w:ascii="Times New Roman" w:eastAsia="楷体" w:hAnsi="Times New Roman" w:hint="eastAsia"/>
                <w:sz w:val="28"/>
                <w:szCs w:val="28"/>
              </w:rPr>
              <w:t>、西门子</w:t>
            </w:r>
            <w:r w:rsidR="001621F3">
              <w:rPr>
                <w:rFonts w:ascii="Times New Roman" w:eastAsia="楷体" w:hAnsi="Times New Roman" w:hint="eastAsia"/>
                <w:sz w:val="28"/>
                <w:szCs w:val="28"/>
              </w:rPr>
              <w:t>股份有限公司</w:t>
            </w:r>
            <w:r w:rsidR="001E0804">
              <w:rPr>
                <w:rFonts w:ascii="Times New Roman" w:eastAsia="楷体" w:hAnsi="Times New Roman" w:hint="eastAsia"/>
                <w:sz w:val="28"/>
                <w:szCs w:val="28"/>
              </w:rPr>
              <w:t>（</w:t>
            </w:r>
            <w:r w:rsidR="001E0804">
              <w:rPr>
                <w:rFonts w:ascii="Times New Roman" w:eastAsia="楷体" w:hAnsi="Times New Roman" w:hint="eastAsia"/>
                <w:sz w:val="28"/>
                <w:szCs w:val="28"/>
              </w:rPr>
              <w:t>S</w:t>
            </w:r>
            <w:r w:rsidR="001E0804">
              <w:rPr>
                <w:rFonts w:ascii="Times New Roman" w:eastAsia="楷体" w:hAnsi="Times New Roman"/>
                <w:sz w:val="28"/>
                <w:szCs w:val="28"/>
              </w:rPr>
              <w:t>iemens AG</w:t>
            </w:r>
            <w:r w:rsidR="001E0804">
              <w:rPr>
                <w:rFonts w:ascii="Times New Roman" w:eastAsia="楷体" w:hAnsi="Times New Roman" w:hint="eastAsia"/>
                <w:sz w:val="28"/>
                <w:szCs w:val="28"/>
              </w:rPr>
              <w:t>）</w:t>
            </w:r>
            <w:r w:rsidRPr="00BA678D">
              <w:rPr>
                <w:rFonts w:ascii="Times New Roman" w:eastAsia="楷体" w:hAnsi="Times New Roman" w:hint="eastAsia"/>
                <w:sz w:val="28"/>
                <w:szCs w:val="28"/>
              </w:rPr>
              <w:t>、</w:t>
            </w:r>
            <w:r w:rsidR="007A085A" w:rsidRPr="00BA678D">
              <w:rPr>
                <w:rFonts w:ascii="Times New Roman" w:eastAsia="楷体" w:hAnsi="Times New Roman"/>
                <w:sz w:val="28"/>
                <w:szCs w:val="28"/>
              </w:rPr>
              <w:t>Macquarie Infrastructure and Real Assets (Europe) Limited</w:t>
            </w:r>
            <w:r w:rsidR="002B7AA0">
              <w:rPr>
                <w:rFonts w:ascii="Times New Roman" w:eastAsia="楷体" w:hAnsi="Times New Roman" w:hint="eastAsia"/>
                <w:sz w:val="28"/>
                <w:szCs w:val="28"/>
              </w:rPr>
              <w:t>、</w:t>
            </w:r>
            <w:bookmarkStart w:id="0" w:name="OLE_LINK3"/>
            <w:r w:rsidR="007A085A" w:rsidRPr="00BA678D">
              <w:rPr>
                <w:rFonts w:ascii="Times New Roman" w:eastAsia="楷体" w:hAnsi="Times New Roman"/>
                <w:sz w:val="28"/>
                <w:szCs w:val="28"/>
              </w:rPr>
              <w:t>Innogy Renewables UK Limited</w:t>
            </w:r>
            <w:bookmarkEnd w:id="0"/>
            <w:r w:rsidR="007A085A" w:rsidRPr="00BA678D">
              <w:rPr>
                <w:rFonts w:ascii="Times New Roman" w:eastAsia="楷体" w:hAnsi="Times New Roman" w:hint="eastAsia"/>
                <w:sz w:val="28"/>
                <w:szCs w:val="28"/>
              </w:rPr>
              <w:t>以及</w:t>
            </w:r>
            <w:bookmarkStart w:id="1" w:name="OLE_LINK38"/>
            <w:bookmarkStart w:id="2" w:name="OLE_LINK39"/>
            <w:r w:rsidR="007A085A" w:rsidRPr="00BA678D">
              <w:rPr>
                <w:rFonts w:ascii="Times New Roman" w:eastAsia="楷体" w:hAnsi="Times New Roman" w:hint="eastAsia"/>
                <w:sz w:val="28"/>
                <w:szCs w:val="28"/>
              </w:rPr>
              <w:t>爱尔兰供电局</w:t>
            </w:r>
            <w:bookmarkEnd w:id="1"/>
            <w:bookmarkEnd w:id="2"/>
            <w:r w:rsidR="00D67E41">
              <w:rPr>
                <w:rFonts w:ascii="Times New Roman" w:eastAsia="楷体" w:hAnsi="Times New Roman" w:hint="eastAsia"/>
                <w:sz w:val="28"/>
                <w:szCs w:val="28"/>
              </w:rPr>
              <w:t>（</w:t>
            </w:r>
            <w:r w:rsidR="00E02BCD" w:rsidRPr="00E02BCD">
              <w:rPr>
                <w:rFonts w:ascii="Times New Roman" w:eastAsia="楷体" w:hAnsi="Times New Roman"/>
                <w:sz w:val="28"/>
                <w:szCs w:val="28"/>
              </w:rPr>
              <w:t>Electricity Supply Board</w:t>
            </w:r>
            <w:r w:rsidR="00D67E41">
              <w:rPr>
                <w:rFonts w:ascii="Times New Roman" w:eastAsia="楷体" w:hAnsi="Times New Roman" w:hint="eastAsia"/>
                <w:sz w:val="28"/>
                <w:szCs w:val="28"/>
              </w:rPr>
              <w:t>）</w:t>
            </w:r>
            <w:r w:rsidR="000546A9" w:rsidRPr="00BA678D">
              <w:rPr>
                <w:rFonts w:ascii="Times New Roman" w:eastAsia="楷体" w:hAnsi="Times New Roman" w:hint="eastAsia"/>
                <w:sz w:val="28"/>
                <w:szCs w:val="28"/>
              </w:rPr>
              <w:t>拟新设合营企业以发展</w:t>
            </w:r>
            <w:r w:rsidR="002B7AA0">
              <w:rPr>
                <w:rFonts w:ascii="Times New Roman" w:eastAsia="楷体" w:hAnsi="Times New Roman" w:hint="eastAsia"/>
                <w:sz w:val="28"/>
                <w:szCs w:val="28"/>
              </w:rPr>
              <w:t>奔马</w:t>
            </w:r>
            <w:r w:rsidR="00A01109">
              <w:rPr>
                <w:rFonts w:ascii="Times New Roman" w:eastAsia="楷体" w:hAnsi="Times New Roman" w:hint="eastAsia"/>
                <w:sz w:val="28"/>
                <w:szCs w:val="28"/>
              </w:rPr>
              <w:t>扩展</w:t>
            </w:r>
            <w:r w:rsidR="007C6010" w:rsidRPr="00BA678D">
              <w:rPr>
                <w:rFonts w:ascii="Times New Roman" w:eastAsia="楷体" w:hAnsi="Times New Roman" w:hint="eastAsia"/>
                <w:sz w:val="28"/>
                <w:szCs w:val="28"/>
              </w:rPr>
              <w:t>海上风电场。</w:t>
            </w:r>
          </w:p>
        </w:tc>
      </w:tr>
      <w:tr w:rsidR="00D41EEB" w:rsidRPr="00DF1F37" w14:paraId="71C257E0" w14:textId="77777777" w:rsidTr="00907E94">
        <w:trPr>
          <w:trHeight w:val="916"/>
        </w:trPr>
        <w:tc>
          <w:tcPr>
            <w:tcW w:w="1773" w:type="dxa"/>
            <w:vMerge w:val="restart"/>
            <w:shd w:val="clear" w:color="auto" w:fill="D9D9D9"/>
          </w:tcPr>
          <w:p w14:paraId="1A10A264" w14:textId="77777777" w:rsidR="00D41EEB" w:rsidRPr="00DF1F37" w:rsidRDefault="00D41EEB" w:rsidP="00D41EEB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979" w:type="dxa"/>
            <w:shd w:val="clear" w:color="auto" w:fill="auto"/>
          </w:tcPr>
          <w:p w14:paraId="0B329E30" w14:textId="3B56C36E" w:rsidR="00D41EEB" w:rsidRPr="00BA678D" w:rsidRDefault="00D41EEB" w:rsidP="00D41EEB">
            <w:pPr>
              <w:pStyle w:val="ListParagraph"/>
              <w:numPr>
                <w:ilvl w:val="0"/>
                <w:numId w:val="2"/>
              </w:numPr>
              <w:snapToGrid w:val="0"/>
              <w:spacing w:line="276" w:lineRule="auto"/>
              <w:ind w:left="239"/>
              <w:contextualSpacing w:val="0"/>
              <w:rPr>
                <w:rFonts w:ascii="Times New Roman" w:eastAsia="楷体" w:hAnsi="Times New Roman"/>
                <w:sz w:val="28"/>
                <w:szCs w:val="28"/>
              </w:rPr>
            </w:pPr>
            <w:r w:rsidRPr="00BA678D">
              <w:rPr>
                <w:rFonts w:ascii="Times New Roman" w:eastAsia="楷体" w:hAnsi="Times New Roman" w:hint="eastAsia"/>
                <w:sz w:val="28"/>
                <w:szCs w:val="28"/>
              </w:rPr>
              <w:t>住友商事</w:t>
            </w:r>
            <w:r w:rsidR="00AD44DE">
              <w:rPr>
                <w:rFonts w:ascii="Times New Roman" w:eastAsia="楷体" w:hAnsi="Times New Roman" w:hint="eastAsia"/>
                <w:sz w:val="28"/>
                <w:szCs w:val="28"/>
              </w:rPr>
              <w:t>株式会社（“住友商事”）</w:t>
            </w:r>
          </w:p>
        </w:tc>
        <w:tc>
          <w:tcPr>
            <w:tcW w:w="5006" w:type="dxa"/>
            <w:shd w:val="clear" w:color="auto" w:fill="auto"/>
          </w:tcPr>
          <w:p w14:paraId="4F1F58E7" w14:textId="0B015567" w:rsidR="00D41EEB" w:rsidRPr="00FE5037" w:rsidRDefault="00D41EEB" w:rsidP="00D41EEB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楷体" w:eastAsia="楷体" w:hAnsi="楷体" w:hint="eastAsia"/>
                <w:sz w:val="28"/>
                <w:szCs w:val="28"/>
              </w:rPr>
              <w:t>通过其覆盖全球的网络，</w:t>
            </w:r>
            <w:r w:rsidR="00AD44DE">
              <w:rPr>
                <w:rFonts w:ascii="楷体" w:eastAsia="楷体" w:hAnsi="楷体" w:hint="eastAsia"/>
                <w:sz w:val="28"/>
                <w:szCs w:val="28"/>
              </w:rPr>
              <w:t>住友商事</w:t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及其子公司从事多种业务活动。</w:t>
            </w:r>
            <w:r w:rsidR="00AD44DE">
              <w:rPr>
                <w:rFonts w:ascii="楷体" w:eastAsia="楷体" w:hAnsi="楷体" w:hint="eastAsia"/>
                <w:sz w:val="28"/>
                <w:szCs w:val="28"/>
              </w:rPr>
              <w:t>住友商事</w:t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是一家综合贸易公司，在日本和全世界范围内提供全方位的服务和产品，包括亚洲、美国和欧洲。</w:t>
            </w:r>
            <w:r w:rsidR="00AD44DE">
              <w:rPr>
                <w:rFonts w:ascii="楷体" w:eastAsia="楷体" w:hAnsi="楷体" w:hint="eastAsia"/>
                <w:sz w:val="28"/>
                <w:szCs w:val="28"/>
              </w:rPr>
              <w:t>住友商事</w:t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及其子公司目前从事下列活动：</w:t>
            </w:r>
          </w:p>
          <w:p w14:paraId="00A2638C" w14:textId="77777777" w:rsidR="00D41EEB" w:rsidRPr="00FE5037" w:rsidRDefault="00D41EEB" w:rsidP="00D41EEB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金属制品；</w:t>
            </w:r>
          </w:p>
          <w:p w14:paraId="70D1AC3A" w14:textId="77777777" w:rsidR="00D41EEB" w:rsidRPr="00FE5037" w:rsidRDefault="00D41EEB" w:rsidP="00D41EEB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交通和工程系统；</w:t>
            </w:r>
          </w:p>
          <w:p w14:paraId="36C91A05" w14:textId="77777777" w:rsidR="00D41EEB" w:rsidRPr="00FE5037" w:rsidRDefault="00D41EEB" w:rsidP="00D41EEB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环保和基础设施；</w:t>
            </w:r>
          </w:p>
          <w:p w14:paraId="5BF7F4E0" w14:textId="77777777" w:rsidR="00D41EEB" w:rsidRPr="00FE5037" w:rsidRDefault="00D41EEB" w:rsidP="00D41EEB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媒体、网络、生活用品与服务；</w:t>
            </w:r>
          </w:p>
          <w:p w14:paraId="527A2504" w14:textId="77777777" w:rsidR="00D41EEB" w:rsidRPr="00FE5037" w:rsidRDefault="00D41EEB" w:rsidP="00D41EEB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矿产资源、能源、化学品和电子产品；</w:t>
            </w:r>
          </w:p>
          <w:p w14:paraId="32EAFD05" w14:textId="77777777" w:rsidR="00D41EEB" w:rsidRPr="00FE5037" w:rsidRDefault="00D41EEB" w:rsidP="00D41EEB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综合产品和房地产；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 xml:space="preserve"> </w:t>
            </w:r>
          </w:p>
          <w:p w14:paraId="2FEB5255" w14:textId="5D6A1E4B" w:rsidR="00D41EEB" w:rsidRPr="00FE5037" w:rsidRDefault="00D41EEB" w:rsidP="00D41EEB">
            <w:pPr>
              <w:snapToGrid w:val="0"/>
              <w:spacing w:line="276" w:lineRule="auto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融资和物流。</w:t>
            </w:r>
          </w:p>
        </w:tc>
      </w:tr>
      <w:tr w:rsidR="000E7318" w:rsidRPr="00DF1F37" w14:paraId="59CC0760" w14:textId="77777777" w:rsidTr="00907E94">
        <w:trPr>
          <w:trHeight w:val="1010"/>
        </w:trPr>
        <w:tc>
          <w:tcPr>
            <w:tcW w:w="1773" w:type="dxa"/>
            <w:vMerge/>
            <w:shd w:val="clear" w:color="auto" w:fill="D9D9D9"/>
          </w:tcPr>
          <w:p w14:paraId="47B213C7" w14:textId="77777777" w:rsidR="000E7318" w:rsidRPr="00DF1F37" w:rsidRDefault="000E7318" w:rsidP="000E7318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</w:p>
        </w:tc>
        <w:tc>
          <w:tcPr>
            <w:tcW w:w="1979" w:type="dxa"/>
            <w:shd w:val="clear" w:color="auto" w:fill="auto"/>
          </w:tcPr>
          <w:p w14:paraId="15AD863F" w14:textId="4A235586" w:rsidR="000E7318" w:rsidRPr="00BA678D" w:rsidRDefault="00AD44DE" w:rsidP="000E7318">
            <w:pPr>
              <w:pStyle w:val="ListParagraph"/>
              <w:numPr>
                <w:ilvl w:val="0"/>
                <w:numId w:val="2"/>
              </w:numPr>
              <w:snapToGrid w:val="0"/>
              <w:spacing w:line="276" w:lineRule="auto"/>
              <w:ind w:left="239"/>
              <w:contextualSpacing w:val="0"/>
              <w:rPr>
                <w:rFonts w:ascii="Times New Roman" w:eastAsia="楷体" w:hAnsi="Times New Roman"/>
                <w:sz w:val="28"/>
                <w:szCs w:val="28"/>
              </w:rPr>
            </w:pPr>
            <w:r w:rsidRPr="00BA678D">
              <w:rPr>
                <w:rFonts w:ascii="Times New Roman" w:eastAsia="楷体" w:hAnsi="Times New Roman" w:hint="eastAsia"/>
                <w:sz w:val="28"/>
                <w:szCs w:val="28"/>
              </w:rPr>
              <w:t>西门子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股份有限公司（“</w:t>
            </w:r>
            <w:r w:rsidR="000E7318" w:rsidRPr="00BA678D">
              <w:rPr>
                <w:rFonts w:ascii="Times New Roman" w:eastAsia="楷体" w:hAnsi="Times New Roman" w:hint="eastAsia"/>
                <w:sz w:val="28"/>
                <w:szCs w:val="28"/>
              </w:rPr>
              <w:t>西门子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”）</w:t>
            </w:r>
          </w:p>
        </w:tc>
        <w:tc>
          <w:tcPr>
            <w:tcW w:w="5006" w:type="dxa"/>
            <w:shd w:val="clear" w:color="auto" w:fill="auto"/>
          </w:tcPr>
          <w:p w14:paraId="60D825CB" w14:textId="77777777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楷体" w:eastAsia="楷体" w:hAnsi="楷体" w:hint="eastAsia"/>
                <w:sz w:val="28"/>
                <w:szCs w:val="28"/>
              </w:rPr>
              <w:t>西门子是德国股份有限公司，其注册地位于柏林和慕尼黑。西门子是西门子集团下各子公司的最终母公司。西门子通过以下业务领域进行运营：</w:t>
            </w:r>
          </w:p>
          <w:p w14:paraId="5F2EB90E" w14:textId="5225EE49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407435">
              <w:rPr>
                <w:rFonts w:ascii="MS Mincho" w:eastAsia="MS Mincho" w:hAnsi="MS Mincho" w:cs="MS Mincho" w:hint="eastAsia"/>
                <w:sz w:val="28"/>
                <w:szCs w:val="28"/>
              </w:rPr>
              <w:t>•</w:t>
            </w:r>
            <w:r w:rsidRPr="00407435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发电服务：</w:t>
            </w:r>
          </w:p>
          <w:p w14:paraId="1E7E45E6" w14:textId="77777777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lastRenderedPageBreak/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电力和天然气；</w:t>
            </w:r>
          </w:p>
          <w:p w14:paraId="6D4C4D09" w14:textId="77777777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风电和可再生能源；</w:t>
            </w:r>
          </w:p>
          <w:p w14:paraId="23345339" w14:textId="77777777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能源管理；</w:t>
            </w:r>
          </w:p>
          <w:p w14:paraId="29697C6A" w14:textId="77777777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建筑技术；</w:t>
            </w:r>
          </w:p>
          <w:p w14:paraId="4ED6A5A8" w14:textId="77777777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交通；</w:t>
            </w:r>
          </w:p>
          <w:p w14:paraId="1B9DEBE2" w14:textId="77777777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数字化工厂；</w:t>
            </w:r>
          </w:p>
          <w:p w14:paraId="146F0C61" w14:textId="77777777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r w:rsidRPr="00FE5037">
              <w:rPr>
                <w:rFonts w:ascii="楷体" w:eastAsia="楷体" w:hAnsi="楷体" w:hint="eastAsia"/>
                <w:sz w:val="28"/>
                <w:szCs w:val="28"/>
              </w:rPr>
              <w:t>加工工业与驱动；</w:t>
            </w:r>
          </w:p>
          <w:p w14:paraId="033A9F76" w14:textId="77777777" w:rsidR="000E7318" w:rsidRPr="00FE5037" w:rsidRDefault="000E7318" w:rsidP="000E7318">
            <w:pPr>
              <w:spacing w:line="500" w:lineRule="exact"/>
              <w:rPr>
                <w:rFonts w:ascii="楷体" w:eastAsia="楷体" w:hAnsi="楷体"/>
                <w:sz w:val="28"/>
                <w:szCs w:val="28"/>
              </w:rPr>
            </w:pPr>
            <w:bookmarkStart w:id="3" w:name="OLE_LINK40"/>
            <w:bookmarkStart w:id="4" w:name="OLE_LINK41"/>
            <w:r w:rsidRPr="00FE5037">
              <w:rPr>
                <w:rFonts w:ascii="MS Mincho" w:eastAsia="MS Mincho" w:hAnsi="MS Mincho" w:cs="MS Mincho"/>
                <w:sz w:val="28"/>
                <w:szCs w:val="28"/>
              </w:rPr>
              <w:t>•</w:t>
            </w:r>
            <w:r w:rsidRPr="00FE5037">
              <w:rPr>
                <w:rFonts w:ascii="楷体" w:eastAsia="楷体" w:hAnsi="楷体"/>
                <w:sz w:val="28"/>
                <w:szCs w:val="28"/>
              </w:rPr>
              <w:tab/>
            </w:r>
            <w:bookmarkEnd w:id="3"/>
            <w:bookmarkEnd w:id="4"/>
            <w:r w:rsidRPr="00FE5037">
              <w:rPr>
                <w:rFonts w:ascii="楷体" w:eastAsia="楷体" w:hAnsi="楷体" w:hint="eastAsia"/>
                <w:sz w:val="28"/>
                <w:szCs w:val="28"/>
              </w:rPr>
              <w:t>医疗；</w:t>
            </w:r>
          </w:p>
          <w:p w14:paraId="3D03E745" w14:textId="043808B9" w:rsidR="000E7318" w:rsidRPr="00FE5037" w:rsidRDefault="008C69F1" w:rsidP="000E7318">
            <w:pPr>
              <w:snapToGrid w:val="0"/>
              <w:spacing w:line="276" w:lineRule="auto"/>
              <w:rPr>
                <w:rFonts w:ascii="楷体" w:eastAsia="楷体" w:hAnsi="楷体"/>
                <w:sz w:val="28"/>
                <w:szCs w:val="28"/>
              </w:rPr>
            </w:pPr>
            <w:r w:rsidRPr="00407435">
              <w:rPr>
                <w:rFonts w:ascii="MS Mincho" w:eastAsia="MS Mincho" w:hAnsi="MS Mincho" w:cs="MS Mincho" w:hint="eastAsia"/>
                <w:sz w:val="28"/>
                <w:szCs w:val="28"/>
              </w:rPr>
              <w:t>•</w:t>
            </w:r>
            <w:r w:rsidRPr="00407435">
              <w:rPr>
                <w:rFonts w:ascii="楷体" w:eastAsia="楷体" w:hAnsi="楷体"/>
                <w:sz w:val="28"/>
                <w:szCs w:val="28"/>
              </w:rPr>
              <w:tab/>
            </w:r>
            <w:r w:rsidR="000E7318" w:rsidRPr="00FE5037">
              <w:rPr>
                <w:rFonts w:ascii="楷体" w:eastAsia="楷体" w:hAnsi="楷体" w:hint="eastAsia"/>
                <w:sz w:val="28"/>
                <w:szCs w:val="28"/>
              </w:rPr>
              <w:t>金融服务。</w:t>
            </w:r>
          </w:p>
        </w:tc>
      </w:tr>
      <w:tr w:rsidR="00624E26" w:rsidRPr="00DF1F37" w14:paraId="56B88C56" w14:textId="77777777" w:rsidTr="00907E94">
        <w:trPr>
          <w:trHeight w:val="1010"/>
        </w:trPr>
        <w:tc>
          <w:tcPr>
            <w:tcW w:w="1773" w:type="dxa"/>
            <w:vMerge/>
            <w:shd w:val="clear" w:color="auto" w:fill="D9D9D9"/>
          </w:tcPr>
          <w:p w14:paraId="7C5A0479" w14:textId="77777777" w:rsidR="00624E26" w:rsidRPr="00DF1F37" w:rsidRDefault="00624E26" w:rsidP="002F2D60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</w:p>
        </w:tc>
        <w:tc>
          <w:tcPr>
            <w:tcW w:w="1979" w:type="dxa"/>
            <w:shd w:val="clear" w:color="auto" w:fill="auto"/>
          </w:tcPr>
          <w:p w14:paraId="246A8AEC" w14:textId="74B34A57" w:rsidR="00624E26" w:rsidRPr="00BA678D" w:rsidRDefault="002B7AA0" w:rsidP="00BA678D">
            <w:pPr>
              <w:pStyle w:val="ListParagraph"/>
              <w:numPr>
                <w:ilvl w:val="0"/>
                <w:numId w:val="2"/>
              </w:numPr>
              <w:snapToGrid w:val="0"/>
              <w:spacing w:line="276" w:lineRule="auto"/>
              <w:ind w:left="239"/>
              <w:contextualSpacing w:val="0"/>
              <w:rPr>
                <w:rFonts w:ascii="Times New Roman" w:eastAsia="楷体" w:hAnsi="Times New Roman"/>
                <w:sz w:val="28"/>
                <w:szCs w:val="28"/>
              </w:rPr>
            </w:pPr>
            <w:r w:rsidRPr="00BA678D">
              <w:rPr>
                <w:rFonts w:ascii="Times New Roman" w:eastAsia="楷体" w:hAnsi="Times New Roman"/>
                <w:sz w:val="28"/>
                <w:szCs w:val="28"/>
              </w:rPr>
              <w:t>Macquarie Infrastructure and Real Assets (Europe) Limited</w:t>
            </w:r>
            <w:r w:rsidR="00AD44DE">
              <w:rPr>
                <w:rFonts w:ascii="Times New Roman" w:eastAsia="楷体" w:hAnsi="Times New Roman" w:hint="eastAsia"/>
                <w:sz w:val="28"/>
                <w:szCs w:val="28"/>
              </w:rPr>
              <w:t>（“</w:t>
            </w:r>
            <w:r w:rsidR="00172B67">
              <w:rPr>
                <w:rFonts w:ascii="Times New Roman" w:eastAsia="楷体" w:hAnsi="Times New Roman" w:hint="eastAsia"/>
                <w:sz w:val="28"/>
                <w:szCs w:val="28"/>
              </w:rPr>
              <w:t>麦格理</w:t>
            </w:r>
            <w:r w:rsidR="00AD44DE">
              <w:rPr>
                <w:rFonts w:ascii="Times New Roman" w:eastAsia="楷体" w:hAnsi="Times New Roman" w:hint="eastAsia"/>
                <w:sz w:val="28"/>
                <w:szCs w:val="28"/>
              </w:rPr>
              <w:t>”）</w:t>
            </w:r>
          </w:p>
        </w:tc>
        <w:tc>
          <w:tcPr>
            <w:tcW w:w="5006" w:type="dxa"/>
            <w:shd w:val="clear" w:color="auto" w:fill="auto"/>
          </w:tcPr>
          <w:p w14:paraId="2660480B" w14:textId="7A3ABBEC" w:rsidR="00624E26" w:rsidRPr="00BA678D" w:rsidRDefault="00101DBB" w:rsidP="00BA678D">
            <w:pPr>
              <w:snapToGrid w:val="0"/>
              <w:spacing w:line="276" w:lineRule="auto"/>
              <w:rPr>
                <w:rFonts w:ascii="Times New Roman" w:eastAsia="楷体" w:hAnsi="Times New Roman"/>
                <w:sz w:val="28"/>
                <w:szCs w:val="28"/>
              </w:rPr>
            </w:pPr>
            <w:r w:rsidRPr="00101DBB">
              <w:rPr>
                <w:rFonts w:ascii="Times New Roman" w:eastAsia="楷体" w:hAnsi="Times New Roman" w:hint="eastAsia"/>
                <w:sz w:val="28"/>
                <w:szCs w:val="28"/>
              </w:rPr>
              <w:t>麦格理是麦格理集团下企业咨询、股票、债券和私人资本市场业务的主要运营和控股公司，并且为支持客户业务而从事资本投资。此外，</w:t>
            </w:r>
            <w:r w:rsidR="00B32D06" w:rsidRPr="00B32D06">
              <w:rPr>
                <w:rFonts w:ascii="Times New Roman" w:eastAsia="楷体" w:hAnsi="Times New Roman" w:hint="eastAsia"/>
                <w:sz w:val="28"/>
                <w:szCs w:val="28"/>
              </w:rPr>
              <w:t>麦格理是受英国金融行为管理局监管的英国注册实体。</w:t>
            </w:r>
            <w:bookmarkStart w:id="5" w:name="_GoBack"/>
            <w:bookmarkEnd w:id="5"/>
          </w:p>
        </w:tc>
      </w:tr>
      <w:tr w:rsidR="00907E94" w:rsidRPr="00DF1F37" w14:paraId="79CD6140" w14:textId="77777777" w:rsidTr="00907E94">
        <w:trPr>
          <w:trHeight w:val="1010"/>
        </w:trPr>
        <w:tc>
          <w:tcPr>
            <w:tcW w:w="1773" w:type="dxa"/>
            <w:vMerge/>
            <w:shd w:val="clear" w:color="auto" w:fill="D9D9D9"/>
          </w:tcPr>
          <w:p w14:paraId="2DC7B97E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</w:p>
        </w:tc>
        <w:tc>
          <w:tcPr>
            <w:tcW w:w="1979" w:type="dxa"/>
            <w:shd w:val="clear" w:color="auto" w:fill="auto"/>
          </w:tcPr>
          <w:p w14:paraId="6223CFA4" w14:textId="1A1B5344" w:rsidR="00907E94" w:rsidRPr="00BA678D" w:rsidRDefault="002B7AA0" w:rsidP="00BA678D">
            <w:pPr>
              <w:pStyle w:val="ListParagraph"/>
              <w:numPr>
                <w:ilvl w:val="0"/>
                <w:numId w:val="2"/>
              </w:numPr>
              <w:snapToGrid w:val="0"/>
              <w:spacing w:line="276" w:lineRule="auto"/>
              <w:ind w:left="247"/>
              <w:contextualSpacing w:val="0"/>
              <w:rPr>
                <w:rFonts w:ascii="Times New Roman" w:eastAsia="楷体" w:hAnsi="Times New Roman"/>
                <w:sz w:val="28"/>
                <w:szCs w:val="28"/>
              </w:rPr>
            </w:pPr>
            <w:r w:rsidRPr="00BA678D">
              <w:rPr>
                <w:rFonts w:ascii="Times New Roman" w:eastAsia="楷体" w:hAnsi="Times New Roman"/>
                <w:sz w:val="28"/>
                <w:szCs w:val="28"/>
              </w:rPr>
              <w:t>Innogy Renewables UK Limited</w:t>
            </w:r>
            <w:r w:rsidR="00AD44DE">
              <w:rPr>
                <w:rFonts w:ascii="Times New Roman" w:eastAsia="楷体" w:hAnsi="Times New Roman" w:hint="eastAsia"/>
                <w:sz w:val="28"/>
                <w:szCs w:val="28"/>
              </w:rPr>
              <w:t>（“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I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nnogy</w:t>
            </w:r>
            <w:r w:rsidR="00AD44DE">
              <w:rPr>
                <w:rFonts w:ascii="Times New Roman" w:eastAsia="楷体" w:hAnsi="Times New Roman" w:hint="eastAsia"/>
                <w:sz w:val="28"/>
                <w:szCs w:val="28"/>
              </w:rPr>
              <w:t>”）</w:t>
            </w:r>
          </w:p>
        </w:tc>
        <w:tc>
          <w:tcPr>
            <w:tcW w:w="5006" w:type="dxa"/>
            <w:shd w:val="clear" w:color="auto" w:fill="auto"/>
            <w:vAlign w:val="center"/>
          </w:tcPr>
          <w:p w14:paraId="12E1C19D" w14:textId="25561E96" w:rsidR="00907E94" w:rsidRPr="00BA678D" w:rsidRDefault="002B7AA0" w:rsidP="00BA678D">
            <w:pPr>
              <w:snapToGrid w:val="0"/>
              <w:spacing w:line="276" w:lineRule="auto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t>Innogy</w:t>
            </w:r>
            <w:r w:rsidR="00907E94" w:rsidRPr="00BA678D">
              <w:rPr>
                <w:rFonts w:ascii="Times New Roman" w:eastAsia="楷体" w:hAnsi="Times New Roman" w:hint="eastAsia"/>
                <w:sz w:val="28"/>
                <w:szCs w:val="28"/>
              </w:rPr>
              <w:t>的主要业务是开发、建设、运营和维护英国境内的可再生能源发电项目</w:t>
            </w:r>
            <w:r w:rsidR="00907E94" w:rsidRPr="00BA678D">
              <w:rPr>
                <w:rFonts w:ascii="Times New Roman" w:eastAsia="楷体" w:hAnsi="Times New Roman" w:hint="eastAsia"/>
                <w:sz w:val="28"/>
                <w:szCs w:val="28"/>
              </w:rPr>
              <w:t>(</w:t>
            </w:r>
            <w:r w:rsidR="00907E94" w:rsidRPr="00BA678D">
              <w:rPr>
                <w:rFonts w:ascii="Times New Roman" w:eastAsia="楷体" w:hAnsi="Times New Roman" w:hint="eastAsia"/>
                <w:sz w:val="28"/>
                <w:szCs w:val="28"/>
              </w:rPr>
              <w:t>包括风电场和水电厂</w:t>
            </w:r>
            <w:r w:rsidR="00907E94" w:rsidRPr="00BA678D">
              <w:rPr>
                <w:rFonts w:ascii="Times New Roman" w:eastAsia="楷体" w:hAnsi="Times New Roman" w:hint="eastAsia"/>
                <w:sz w:val="28"/>
                <w:szCs w:val="28"/>
              </w:rPr>
              <w:t>)</w:t>
            </w:r>
            <w:r w:rsidR="00907E94" w:rsidRPr="00BA678D">
              <w:rPr>
                <w:rFonts w:ascii="Times New Roman" w:eastAsia="楷体" w:hAnsi="Times New Roman" w:hint="eastAsia"/>
                <w:sz w:val="28"/>
                <w:szCs w:val="28"/>
              </w:rPr>
              <w:t>，并提供相关服务，包括与关联公司的承购安排。</w:t>
            </w:r>
          </w:p>
        </w:tc>
      </w:tr>
      <w:tr w:rsidR="00907E94" w:rsidRPr="00DF1F37" w14:paraId="16D838A3" w14:textId="77777777" w:rsidTr="00907E94">
        <w:trPr>
          <w:trHeight w:val="1010"/>
        </w:trPr>
        <w:tc>
          <w:tcPr>
            <w:tcW w:w="1773" w:type="dxa"/>
            <w:vMerge/>
            <w:shd w:val="clear" w:color="auto" w:fill="D9D9D9"/>
          </w:tcPr>
          <w:p w14:paraId="06BBD3C5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</w:p>
        </w:tc>
        <w:tc>
          <w:tcPr>
            <w:tcW w:w="1979" w:type="dxa"/>
            <w:shd w:val="clear" w:color="auto" w:fill="auto"/>
          </w:tcPr>
          <w:p w14:paraId="6EB7E6DC" w14:textId="37850DEA" w:rsidR="00907E94" w:rsidRPr="00BA678D" w:rsidRDefault="00907E94" w:rsidP="00BA678D">
            <w:pPr>
              <w:pStyle w:val="ListParagraph"/>
              <w:numPr>
                <w:ilvl w:val="0"/>
                <w:numId w:val="2"/>
              </w:numPr>
              <w:snapToGrid w:val="0"/>
              <w:spacing w:line="276" w:lineRule="auto"/>
              <w:ind w:left="277"/>
              <w:contextualSpacing w:val="0"/>
              <w:rPr>
                <w:rFonts w:ascii="Times New Roman" w:eastAsia="楷体" w:hAnsi="Times New Roman"/>
                <w:sz w:val="28"/>
                <w:szCs w:val="28"/>
              </w:rPr>
            </w:pPr>
            <w:r w:rsidRPr="00BA678D">
              <w:rPr>
                <w:rFonts w:ascii="Times New Roman" w:eastAsia="楷体" w:hAnsi="Times New Roman" w:hint="eastAsia"/>
                <w:sz w:val="28"/>
                <w:szCs w:val="28"/>
              </w:rPr>
              <w:t>爱尔兰供电局</w:t>
            </w:r>
          </w:p>
        </w:tc>
        <w:tc>
          <w:tcPr>
            <w:tcW w:w="5006" w:type="dxa"/>
            <w:shd w:val="clear" w:color="auto" w:fill="auto"/>
          </w:tcPr>
          <w:p w14:paraId="20206BE7" w14:textId="75075022" w:rsidR="00907E94" w:rsidRPr="00BA678D" w:rsidRDefault="00084C16" w:rsidP="00BA678D">
            <w:pPr>
              <w:snapToGrid w:val="0"/>
              <w:spacing w:line="276" w:lineRule="auto"/>
              <w:rPr>
                <w:rFonts w:ascii="Times New Roman" w:eastAsia="楷体" w:hAnsi="Times New Roman"/>
                <w:sz w:val="28"/>
                <w:szCs w:val="28"/>
              </w:rPr>
            </w:pPr>
            <w:r w:rsidRPr="00BA678D">
              <w:rPr>
                <w:rFonts w:ascii="Times New Roman" w:eastAsia="楷体" w:hAnsi="Times New Roman" w:hint="eastAsia"/>
                <w:sz w:val="28"/>
                <w:szCs w:val="28"/>
              </w:rPr>
              <w:t>爱尔兰供电局及其子公司是一家垂直整合的能源公司，在电力部门的各个层面都有业务，包括发电、输电、配电和电力零售。爱尔兰供电局还拥有包括国际工程咨询业务、电信和电动汽车充电基础设施的相关业务。除国际咨询业务外，爱尔兰供电局的活动主要在爱尔兰和英国进行。</w:t>
            </w:r>
          </w:p>
        </w:tc>
      </w:tr>
      <w:tr w:rsidR="00907E94" w:rsidRPr="00DF1F37" w14:paraId="65812F93" w14:textId="77777777" w:rsidTr="00907E94">
        <w:trPr>
          <w:trHeight w:val="279"/>
        </w:trPr>
        <w:tc>
          <w:tcPr>
            <w:tcW w:w="1773" w:type="dxa"/>
            <w:vMerge w:val="restart"/>
            <w:shd w:val="clear" w:color="auto" w:fill="D9D9D9"/>
          </w:tcPr>
          <w:p w14:paraId="0343C864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t>简易案件理由（可以单选，也可以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lastRenderedPageBreak/>
              <w:t>多选）</w:t>
            </w:r>
          </w:p>
        </w:tc>
        <w:tc>
          <w:tcPr>
            <w:tcW w:w="6985" w:type="dxa"/>
            <w:gridSpan w:val="2"/>
            <w:shd w:val="clear" w:color="auto" w:fill="auto"/>
          </w:tcPr>
          <w:p w14:paraId="5A6B67FD" w14:textId="50A0BF28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lastRenderedPageBreak/>
              <w:t>□1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15%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。</w:t>
            </w:r>
          </w:p>
        </w:tc>
      </w:tr>
      <w:tr w:rsidR="00907E94" w:rsidRPr="00DF1F37" w14:paraId="29319404" w14:textId="77777777" w:rsidTr="00907E94">
        <w:trPr>
          <w:trHeight w:val="330"/>
        </w:trPr>
        <w:tc>
          <w:tcPr>
            <w:tcW w:w="1773" w:type="dxa"/>
            <w:vMerge/>
            <w:shd w:val="clear" w:color="auto" w:fill="D9D9D9"/>
          </w:tcPr>
          <w:p w14:paraId="280B0301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</w:p>
        </w:tc>
        <w:tc>
          <w:tcPr>
            <w:tcW w:w="6985" w:type="dxa"/>
            <w:gridSpan w:val="2"/>
            <w:shd w:val="clear" w:color="auto" w:fill="auto"/>
          </w:tcPr>
          <w:p w14:paraId="497F06B8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t>□2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、存在上下游关系的参与集中的经营者，在上下游市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lastRenderedPageBreak/>
              <w:t>场所占的市场份额均小于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25%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。</w:t>
            </w:r>
          </w:p>
        </w:tc>
      </w:tr>
      <w:tr w:rsidR="00907E94" w:rsidRPr="00DF1F37" w14:paraId="71B316F8" w14:textId="77777777" w:rsidTr="00907E94">
        <w:trPr>
          <w:trHeight w:val="285"/>
        </w:trPr>
        <w:tc>
          <w:tcPr>
            <w:tcW w:w="1773" w:type="dxa"/>
            <w:vMerge/>
            <w:shd w:val="clear" w:color="auto" w:fill="D9D9D9"/>
          </w:tcPr>
          <w:p w14:paraId="6E0828C1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</w:p>
        </w:tc>
        <w:tc>
          <w:tcPr>
            <w:tcW w:w="6985" w:type="dxa"/>
            <w:gridSpan w:val="2"/>
            <w:shd w:val="clear" w:color="auto" w:fill="auto"/>
          </w:tcPr>
          <w:p w14:paraId="4A106302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t>□3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25%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。</w:t>
            </w:r>
          </w:p>
        </w:tc>
      </w:tr>
      <w:tr w:rsidR="00907E94" w:rsidRPr="00DF1F37" w14:paraId="06134569" w14:textId="77777777" w:rsidTr="00907E94">
        <w:trPr>
          <w:trHeight w:val="870"/>
        </w:trPr>
        <w:tc>
          <w:tcPr>
            <w:tcW w:w="1773" w:type="dxa"/>
            <w:vMerge/>
            <w:shd w:val="clear" w:color="auto" w:fill="D9D9D9"/>
          </w:tcPr>
          <w:p w14:paraId="7E8520BA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</w:p>
        </w:tc>
        <w:tc>
          <w:tcPr>
            <w:tcW w:w="6985" w:type="dxa"/>
            <w:gridSpan w:val="2"/>
            <w:shd w:val="clear" w:color="auto" w:fill="auto"/>
          </w:tcPr>
          <w:p w14:paraId="54456A7E" w14:textId="09B28F00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624566">
              <w:rPr>
                <w:rFonts w:ascii="Times New Roman" w:eastAsia="楷体" w:hAnsi="Times New Roman"/>
                <w:color w:val="0000FF"/>
                <w:sz w:val="28"/>
                <w:szCs w:val="28"/>
              </w:rPr>
              <w:sym w:font="Wingdings" w:char="F0FE"/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4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907E94" w:rsidRPr="00DF1F37" w14:paraId="7817ACC0" w14:textId="77777777" w:rsidTr="00907E94">
        <w:trPr>
          <w:trHeight w:val="264"/>
        </w:trPr>
        <w:tc>
          <w:tcPr>
            <w:tcW w:w="1773" w:type="dxa"/>
            <w:vMerge/>
            <w:shd w:val="clear" w:color="auto" w:fill="D9D9D9"/>
          </w:tcPr>
          <w:p w14:paraId="2C5A7442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</w:p>
        </w:tc>
        <w:tc>
          <w:tcPr>
            <w:tcW w:w="6985" w:type="dxa"/>
            <w:gridSpan w:val="2"/>
            <w:shd w:val="clear" w:color="auto" w:fill="auto"/>
          </w:tcPr>
          <w:p w14:paraId="252ADAC6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t>□5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907E94" w:rsidRPr="00DF1F37" w14:paraId="04C58C84" w14:textId="77777777" w:rsidTr="00907E94">
        <w:trPr>
          <w:trHeight w:val="345"/>
        </w:trPr>
        <w:tc>
          <w:tcPr>
            <w:tcW w:w="1773" w:type="dxa"/>
            <w:vMerge/>
            <w:shd w:val="clear" w:color="auto" w:fill="D9D9D9"/>
          </w:tcPr>
          <w:p w14:paraId="3F4B4540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</w:p>
        </w:tc>
        <w:tc>
          <w:tcPr>
            <w:tcW w:w="6985" w:type="dxa"/>
            <w:gridSpan w:val="2"/>
            <w:shd w:val="clear" w:color="auto" w:fill="auto"/>
          </w:tcPr>
          <w:p w14:paraId="45AC79B2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t>□6</w:t>
            </w:r>
            <w:r w:rsidRPr="00DF1F37">
              <w:rPr>
                <w:rFonts w:ascii="Times New Roman" w:eastAsia="楷体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907E94" w:rsidRPr="00DF1F37" w14:paraId="343D5B58" w14:textId="77777777" w:rsidTr="00907E94">
        <w:tc>
          <w:tcPr>
            <w:tcW w:w="1773" w:type="dxa"/>
            <w:shd w:val="clear" w:color="auto" w:fill="D9D9D9"/>
          </w:tcPr>
          <w:p w14:paraId="29AC582E" w14:textId="77777777" w:rsidR="00907E94" w:rsidRPr="00DF1F37" w:rsidRDefault="00907E94" w:rsidP="00907E94">
            <w:pPr>
              <w:spacing w:line="500" w:lineRule="exact"/>
              <w:rPr>
                <w:rFonts w:ascii="Times New Roman" w:eastAsia="楷体" w:hAnsi="Times New Roman"/>
                <w:sz w:val="28"/>
                <w:szCs w:val="28"/>
              </w:rPr>
            </w:pPr>
            <w:r w:rsidRPr="00DF1F37">
              <w:rPr>
                <w:rFonts w:ascii="Times New Roman" w:eastAsia="楷体" w:hAnsi="Times New Roman"/>
                <w:sz w:val="28"/>
                <w:szCs w:val="28"/>
              </w:rPr>
              <w:t>备注</w:t>
            </w:r>
          </w:p>
        </w:tc>
        <w:tc>
          <w:tcPr>
            <w:tcW w:w="6985" w:type="dxa"/>
            <w:gridSpan w:val="2"/>
            <w:shd w:val="clear" w:color="auto" w:fill="auto"/>
          </w:tcPr>
          <w:p w14:paraId="237E02C7" w14:textId="3DD0DF1C" w:rsidR="00907E94" w:rsidRPr="00624566" w:rsidRDefault="00907E94" w:rsidP="00907E94">
            <w:pPr>
              <w:spacing w:line="500" w:lineRule="exact"/>
              <w:rPr>
                <w:rFonts w:ascii="Times New Roman" w:eastAsia="楷体" w:hAnsi="Times New Roman"/>
                <w:color w:val="0000FF"/>
                <w:sz w:val="28"/>
                <w:szCs w:val="28"/>
              </w:rPr>
            </w:pPr>
          </w:p>
        </w:tc>
      </w:tr>
    </w:tbl>
    <w:p w14:paraId="30E60AA6" w14:textId="77777777"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4334751" w14:textId="77777777" w:rsidR="005F167B" w:rsidRPr="00BB2377" w:rsidRDefault="005F167B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14:paraId="3E43AD11" w14:textId="77777777" w:rsidR="005F167B" w:rsidRPr="00BB2377" w:rsidRDefault="005F167B" w:rsidP="00BB2377">
      <w:pPr>
        <w:snapToGrid w:val="0"/>
        <w:spacing w:line="360" w:lineRule="auto"/>
        <w:ind w:firstLineChars="200" w:firstLine="504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45533952" w14:textId="77777777" w:rsidR="00094095" w:rsidRPr="00BB2377" w:rsidRDefault="005F167B" w:rsidP="00BB2377">
      <w:pPr>
        <w:spacing w:line="360" w:lineRule="auto"/>
        <w:ind w:firstLineChars="200" w:firstLine="504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24CAD7F5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EC617A" w14:textId="77777777" w:rsidR="00BE1E07" w:rsidRDefault="00BE1E07" w:rsidP="00094095">
      <w:r>
        <w:separator/>
      </w:r>
    </w:p>
  </w:endnote>
  <w:endnote w:type="continuationSeparator" w:id="0">
    <w:p w14:paraId="4FC03846" w14:textId="77777777" w:rsidR="00BE1E07" w:rsidRDefault="00BE1E07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新宋体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Malgun Gothic Semilight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445283" w14:textId="77777777" w:rsidR="00BE1E07" w:rsidRDefault="00BE1E07" w:rsidP="00094095">
      <w:r>
        <w:separator/>
      </w:r>
    </w:p>
  </w:footnote>
  <w:footnote w:type="continuationSeparator" w:id="0">
    <w:p w14:paraId="4B0FA1FF" w14:textId="77777777" w:rsidR="00BE1E07" w:rsidRDefault="00BE1E07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A5229968">
      <w:start w:val="1"/>
      <w:numFmt w:val="decimal"/>
      <w:lvlText w:val="%1."/>
      <w:lvlJc w:val="left"/>
      <w:pPr>
        <w:ind w:left="420" w:hanging="420"/>
      </w:pPr>
    </w:lvl>
    <w:lvl w:ilvl="1" w:tplc="963C2900" w:tentative="1">
      <w:start w:val="1"/>
      <w:numFmt w:val="lowerLetter"/>
      <w:lvlText w:val="%2)"/>
      <w:lvlJc w:val="left"/>
      <w:pPr>
        <w:ind w:left="840" w:hanging="420"/>
      </w:pPr>
    </w:lvl>
    <w:lvl w:ilvl="2" w:tplc="66C8920C" w:tentative="1">
      <w:start w:val="1"/>
      <w:numFmt w:val="lowerRoman"/>
      <w:lvlText w:val="%3."/>
      <w:lvlJc w:val="right"/>
      <w:pPr>
        <w:ind w:left="1260" w:hanging="420"/>
      </w:pPr>
    </w:lvl>
    <w:lvl w:ilvl="3" w:tplc="3AB0D886" w:tentative="1">
      <w:start w:val="1"/>
      <w:numFmt w:val="decimal"/>
      <w:lvlText w:val="%4."/>
      <w:lvlJc w:val="left"/>
      <w:pPr>
        <w:ind w:left="1680" w:hanging="420"/>
      </w:pPr>
    </w:lvl>
    <w:lvl w:ilvl="4" w:tplc="1D86FD8E" w:tentative="1">
      <w:start w:val="1"/>
      <w:numFmt w:val="lowerLetter"/>
      <w:lvlText w:val="%5)"/>
      <w:lvlJc w:val="left"/>
      <w:pPr>
        <w:ind w:left="2100" w:hanging="420"/>
      </w:pPr>
    </w:lvl>
    <w:lvl w:ilvl="5" w:tplc="CF4068F6" w:tentative="1">
      <w:start w:val="1"/>
      <w:numFmt w:val="lowerRoman"/>
      <w:lvlText w:val="%6."/>
      <w:lvlJc w:val="right"/>
      <w:pPr>
        <w:ind w:left="2520" w:hanging="420"/>
      </w:pPr>
    </w:lvl>
    <w:lvl w:ilvl="6" w:tplc="34C02EA6" w:tentative="1">
      <w:start w:val="1"/>
      <w:numFmt w:val="decimal"/>
      <w:lvlText w:val="%7."/>
      <w:lvlJc w:val="left"/>
      <w:pPr>
        <w:ind w:left="2940" w:hanging="420"/>
      </w:pPr>
    </w:lvl>
    <w:lvl w:ilvl="7" w:tplc="E2B6E0CE" w:tentative="1">
      <w:start w:val="1"/>
      <w:numFmt w:val="lowerLetter"/>
      <w:lvlText w:val="%8)"/>
      <w:lvlJc w:val="left"/>
      <w:pPr>
        <w:ind w:left="3360" w:hanging="420"/>
      </w:pPr>
    </w:lvl>
    <w:lvl w:ilvl="8" w:tplc="C8CE3B7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A31EC4"/>
    <w:multiLevelType w:val="hybridMultilevel"/>
    <w:tmpl w:val="663EE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546A9"/>
    <w:rsid w:val="00062883"/>
    <w:rsid w:val="00084C16"/>
    <w:rsid w:val="00094095"/>
    <w:rsid w:val="000E7318"/>
    <w:rsid w:val="00101DBB"/>
    <w:rsid w:val="00107611"/>
    <w:rsid w:val="00115906"/>
    <w:rsid w:val="001621F3"/>
    <w:rsid w:val="00172B67"/>
    <w:rsid w:val="001B075F"/>
    <w:rsid w:val="001B1388"/>
    <w:rsid w:val="001C2D08"/>
    <w:rsid w:val="001E0804"/>
    <w:rsid w:val="00202C4C"/>
    <w:rsid w:val="00205F56"/>
    <w:rsid w:val="00220363"/>
    <w:rsid w:val="00245776"/>
    <w:rsid w:val="00256294"/>
    <w:rsid w:val="00296677"/>
    <w:rsid w:val="002B1656"/>
    <w:rsid w:val="002B7AA0"/>
    <w:rsid w:val="002F2D60"/>
    <w:rsid w:val="00307976"/>
    <w:rsid w:val="00366D20"/>
    <w:rsid w:val="00387F2D"/>
    <w:rsid w:val="00397C9B"/>
    <w:rsid w:val="003B6758"/>
    <w:rsid w:val="003C415D"/>
    <w:rsid w:val="00462174"/>
    <w:rsid w:val="0046277E"/>
    <w:rsid w:val="00481909"/>
    <w:rsid w:val="00565A14"/>
    <w:rsid w:val="005F167B"/>
    <w:rsid w:val="005F1C5A"/>
    <w:rsid w:val="00601A28"/>
    <w:rsid w:val="006043B2"/>
    <w:rsid w:val="00624566"/>
    <w:rsid w:val="00624E26"/>
    <w:rsid w:val="0069122A"/>
    <w:rsid w:val="006B512F"/>
    <w:rsid w:val="006D5B2D"/>
    <w:rsid w:val="006E2EF4"/>
    <w:rsid w:val="007A085A"/>
    <w:rsid w:val="007C6010"/>
    <w:rsid w:val="00811D83"/>
    <w:rsid w:val="008355D3"/>
    <w:rsid w:val="00840BC1"/>
    <w:rsid w:val="008B300D"/>
    <w:rsid w:val="008C69F1"/>
    <w:rsid w:val="008E7B8C"/>
    <w:rsid w:val="00907222"/>
    <w:rsid w:val="00907E94"/>
    <w:rsid w:val="009835B4"/>
    <w:rsid w:val="009C40B1"/>
    <w:rsid w:val="009F3138"/>
    <w:rsid w:val="00A01109"/>
    <w:rsid w:val="00A05A4D"/>
    <w:rsid w:val="00A063D3"/>
    <w:rsid w:val="00A35DDA"/>
    <w:rsid w:val="00A563ED"/>
    <w:rsid w:val="00A85F8D"/>
    <w:rsid w:val="00AD44DE"/>
    <w:rsid w:val="00B133C7"/>
    <w:rsid w:val="00B31992"/>
    <w:rsid w:val="00B32D06"/>
    <w:rsid w:val="00BA0750"/>
    <w:rsid w:val="00BA1596"/>
    <w:rsid w:val="00BA678D"/>
    <w:rsid w:val="00BB2377"/>
    <w:rsid w:val="00BE1E07"/>
    <w:rsid w:val="00BE3C8B"/>
    <w:rsid w:val="00BF2D74"/>
    <w:rsid w:val="00C60888"/>
    <w:rsid w:val="00C9068E"/>
    <w:rsid w:val="00CA0DA6"/>
    <w:rsid w:val="00CC6C46"/>
    <w:rsid w:val="00CD4616"/>
    <w:rsid w:val="00CF55F6"/>
    <w:rsid w:val="00D21777"/>
    <w:rsid w:val="00D41EEB"/>
    <w:rsid w:val="00D46BB0"/>
    <w:rsid w:val="00D67E41"/>
    <w:rsid w:val="00D76301"/>
    <w:rsid w:val="00DF1F37"/>
    <w:rsid w:val="00E02BCD"/>
    <w:rsid w:val="00E610AD"/>
    <w:rsid w:val="00E71CDA"/>
    <w:rsid w:val="00E74445"/>
    <w:rsid w:val="00ED0F32"/>
    <w:rsid w:val="00ED21B1"/>
    <w:rsid w:val="00F6257C"/>
    <w:rsid w:val="00F67F9E"/>
    <w:rsid w:val="00F730F8"/>
    <w:rsid w:val="00F87911"/>
    <w:rsid w:val="00F87C1F"/>
    <w:rsid w:val="00FE50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D48B"/>
  <w15:chartTrackingRefBased/>
  <w15:docId w15:val="{59187FFF-CB92-43CE-A98B-E85B36AF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B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40BC1"/>
    <w:rPr>
      <w:rFonts w:ascii="Tahoma" w:hAnsi="Tahoma" w:cs="Tahoma"/>
      <w:kern w:val="2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7C6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10942-8F93-40A2-B18C-EF6D254AB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DaHui Lawyers</dc:creator>
  <cp:keywords/>
  <dc:description/>
  <cp:lastModifiedBy>Herbert Smith Freehills</cp:lastModifiedBy>
  <cp:revision>4</cp:revision>
  <cp:lastPrinted>2019-10-11T12:57:00Z</cp:lastPrinted>
  <dcterms:created xsi:type="dcterms:W3CDTF">2020-04-08T09:20:00Z</dcterms:created>
  <dcterms:modified xsi:type="dcterms:W3CDTF">2020-04-09T02:12:00Z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0030390</vt:lpwstr>
  </property>
  <property fmtid="{D5CDD505-2E9C-101B-9397-08002B2CF9AE}" pid="3" name="cpClientMatter">
    <vt:lpwstr>0030390-0000078</vt:lpwstr>
  </property>
  <property fmtid="{D5CDD505-2E9C-101B-9397-08002B2CF9AE}" pid="4" name="cpCombinedRef">
    <vt:lpwstr>0030390-0000078 BJ:4102513.2</vt:lpwstr>
  </property>
  <property fmtid="{D5CDD505-2E9C-101B-9397-08002B2CF9AE}" pid="5" name="cpDocRef">
    <vt:lpwstr>BJ:4102513.2</vt:lpwstr>
  </property>
  <property fmtid="{D5CDD505-2E9C-101B-9397-08002B2CF9AE}" pid="6" name="Matter">
    <vt:lpwstr>0000078</vt:lpwstr>
  </property>
  <property fmtid="{D5CDD505-2E9C-101B-9397-08002B2CF9AE}" pid="7" name="WS_TRACKING_ID">
    <vt:lpwstr>23fce5d7-4d90-48b5-924a-2740f024a083</vt:lpwstr>
  </property>
</Properties>
</file>