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3F1FB2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bookmarkStart w:id="0" w:name="_GoBack"/>
      <w:bookmarkEnd w:id="0"/>
      <w:r w:rsidRPr="003F1FB2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3F1FB2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3F1FB2" w:rsidRDefault="00D92E0B" w:rsidP="002D0DAF">
            <w:pPr>
              <w:pStyle w:val="a7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3F1FB2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405831DD" w:rsidR="00D92E0B" w:rsidRPr="003F1FB2" w:rsidRDefault="00CB4F7D" w:rsidP="007535D1">
            <w:pPr>
              <w:autoSpaceDE w:val="0"/>
              <w:autoSpaceDN w:val="0"/>
              <w:adjustRightInd w:val="0"/>
              <w:rPr>
                <w:rFonts w:eastAsiaTheme="majorEastAsia"/>
                <w:noProof/>
                <w:sz w:val="22"/>
                <w:szCs w:val="22"/>
                <w:lang w:val="fr-FR"/>
              </w:rPr>
            </w:pPr>
            <w:r w:rsidRPr="003F1FB2">
              <w:rPr>
                <w:rFonts w:hint="eastAsia"/>
                <w:sz w:val="22"/>
                <w:szCs w:val="22"/>
              </w:rPr>
              <w:t>亿滋国际公司收购</w:t>
            </w:r>
            <w:r w:rsidRPr="003F1FB2">
              <w:rPr>
                <w:sz w:val="22"/>
                <w:szCs w:val="22"/>
              </w:rPr>
              <w:t>Aztecagri</w:t>
            </w:r>
            <w:r w:rsidRPr="003F1FB2">
              <w:rPr>
                <w:rFonts w:hint="eastAsia"/>
                <w:sz w:val="22"/>
                <w:szCs w:val="22"/>
              </w:rPr>
              <w:t>有限公司股权</w:t>
            </w:r>
            <w:r w:rsidRPr="003F1FB2">
              <w:rPr>
                <w:sz w:val="22"/>
                <w:szCs w:val="22"/>
              </w:rPr>
              <w:t>案（</w:t>
            </w:r>
            <w:r w:rsidRPr="003F1FB2">
              <w:rPr>
                <w:rFonts w:hint="eastAsia"/>
                <w:sz w:val="22"/>
                <w:szCs w:val="22"/>
              </w:rPr>
              <w:t>“</w:t>
            </w:r>
            <w:r w:rsidRPr="003F1FB2">
              <w:rPr>
                <w:b/>
                <w:bCs/>
                <w:sz w:val="22"/>
                <w:szCs w:val="22"/>
              </w:rPr>
              <w:t>本交易</w:t>
            </w:r>
            <w:r w:rsidRPr="003F1FB2">
              <w:rPr>
                <w:rFonts w:hint="eastAsia"/>
                <w:sz w:val="22"/>
                <w:szCs w:val="22"/>
              </w:rPr>
              <w:t>”</w:t>
            </w:r>
            <w:r w:rsidRPr="003F1FB2">
              <w:rPr>
                <w:sz w:val="22"/>
                <w:szCs w:val="22"/>
              </w:rPr>
              <w:t>）</w:t>
            </w:r>
          </w:p>
        </w:tc>
      </w:tr>
      <w:tr w:rsidR="00D92E0B" w:rsidRPr="003F1FB2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3F1FB2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3F1FB2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3F1FB2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40B95F58" w14:textId="0B5A12D8" w:rsidR="00CB4F7D" w:rsidRPr="003F1FB2" w:rsidRDefault="00CB4F7D" w:rsidP="007535D1">
            <w:pPr>
              <w:snapToGrid w:val="0"/>
              <w:rPr>
                <w:sz w:val="22"/>
                <w:szCs w:val="22"/>
              </w:rPr>
            </w:pPr>
            <w:r w:rsidRPr="003F1FB2">
              <w:rPr>
                <w:rFonts w:hint="eastAsia"/>
                <w:sz w:val="22"/>
                <w:szCs w:val="22"/>
              </w:rPr>
              <w:t>亿滋国际公司（通过其全资子公司）（“</w:t>
            </w:r>
            <w:r w:rsidRPr="003F1FB2">
              <w:rPr>
                <w:rFonts w:hint="eastAsia"/>
                <w:b/>
                <w:bCs/>
                <w:sz w:val="22"/>
                <w:szCs w:val="22"/>
              </w:rPr>
              <w:t>亿滋</w:t>
            </w:r>
            <w:r w:rsidRPr="003F1FB2">
              <w:rPr>
                <w:rFonts w:hint="eastAsia"/>
                <w:sz w:val="22"/>
                <w:szCs w:val="22"/>
              </w:rPr>
              <w:t>”）拟向翱兰国际有限公司</w:t>
            </w:r>
            <w:r w:rsidRPr="003F1FB2">
              <w:rPr>
                <w:sz w:val="22"/>
                <w:szCs w:val="22"/>
                <w:lang w:val="en-SG"/>
              </w:rPr>
              <w:t>（</w:t>
            </w:r>
            <w:r w:rsidRPr="003F1FB2">
              <w:rPr>
                <w:rFonts w:hint="eastAsia"/>
                <w:sz w:val="22"/>
                <w:szCs w:val="22"/>
                <w:lang w:val="en-SG"/>
              </w:rPr>
              <w:t>“</w:t>
            </w:r>
            <w:r w:rsidRPr="003F1FB2">
              <w:rPr>
                <w:b/>
                <w:bCs/>
                <w:sz w:val="22"/>
                <w:szCs w:val="22"/>
                <w:lang w:val="en-SG"/>
              </w:rPr>
              <w:t>翱兰</w:t>
            </w:r>
            <w:r w:rsidRPr="003F1FB2">
              <w:rPr>
                <w:rFonts w:hint="eastAsia"/>
                <w:sz w:val="22"/>
                <w:szCs w:val="22"/>
                <w:lang w:val="en-SG"/>
              </w:rPr>
              <w:t>”</w:t>
            </w:r>
            <w:r w:rsidRPr="003F1FB2">
              <w:rPr>
                <w:sz w:val="22"/>
                <w:szCs w:val="22"/>
                <w:lang w:val="en-SG"/>
              </w:rPr>
              <w:t>）</w:t>
            </w:r>
            <w:r w:rsidRPr="003F1FB2">
              <w:rPr>
                <w:rFonts w:hint="eastAsia"/>
                <w:sz w:val="22"/>
                <w:szCs w:val="22"/>
              </w:rPr>
              <w:t>收购</w:t>
            </w:r>
            <w:r w:rsidRPr="003F1FB2">
              <w:rPr>
                <w:sz w:val="22"/>
                <w:szCs w:val="22"/>
              </w:rPr>
              <w:t>Aztecagri</w:t>
            </w:r>
            <w:r w:rsidRPr="003F1FB2">
              <w:rPr>
                <w:rFonts w:hint="eastAsia"/>
                <w:sz w:val="22"/>
                <w:szCs w:val="22"/>
              </w:rPr>
              <w:t>有限公司（“</w:t>
            </w:r>
            <w:r w:rsidRPr="003F1FB2">
              <w:rPr>
                <w:rFonts w:hint="eastAsia"/>
                <w:b/>
                <w:bCs/>
                <w:sz w:val="22"/>
                <w:szCs w:val="22"/>
              </w:rPr>
              <w:t>目标公司</w:t>
            </w:r>
            <w:r w:rsidRPr="003F1FB2">
              <w:rPr>
                <w:rFonts w:hint="eastAsia"/>
                <w:sz w:val="22"/>
                <w:szCs w:val="22"/>
              </w:rPr>
              <w:t>”）</w:t>
            </w:r>
            <w:r w:rsidRPr="003F1FB2">
              <w:rPr>
                <w:rFonts w:hint="eastAsia"/>
                <w:sz w:val="22"/>
                <w:szCs w:val="22"/>
              </w:rPr>
              <w:t>50%</w:t>
            </w:r>
            <w:r w:rsidRPr="003F1FB2">
              <w:rPr>
                <w:rFonts w:hint="eastAsia"/>
                <w:sz w:val="22"/>
                <w:szCs w:val="22"/>
              </w:rPr>
              <w:t>的已发行股份。</w:t>
            </w:r>
          </w:p>
          <w:p w14:paraId="1E597D4B" w14:textId="48DCFA23" w:rsidR="00D92E0B" w:rsidRPr="003F1FB2" w:rsidRDefault="00CB4F7D" w:rsidP="007535D1">
            <w:pPr>
              <w:snapToGrid w:val="0"/>
              <w:rPr>
                <w:rFonts w:eastAsiaTheme="majorEastAsia"/>
                <w:bCs/>
                <w:noProof/>
                <w:sz w:val="22"/>
                <w:szCs w:val="22"/>
              </w:rPr>
            </w:pPr>
            <w:r w:rsidRPr="003F1FB2">
              <w:rPr>
                <w:rFonts w:hint="eastAsia"/>
                <w:sz w:val="22"/>
                <w:szCs w:val="22"/>
              </w:rPr>
              <w:t>本交易完成后，目标公司将由亿滋和</w:t>
            </w:r>
            <w:r w:rsidRPr="003F1FB2">
              <w:rPr>
                <w:sz w:val="22"/>
                <w:szCs w:val="22"/>
                <w:lang w:val="en-SG"/>
              </w:rPr>
              <w:t>翱兰</w:t>
            </w:r>
            <w:r w:rsidRPr="003F1FB2">
              <w:rPr>
                <w:rFonts w:hint="eastAsia"/>
                <w:sz w:val="22"/>
                <w:szCs w:val="22"/>
                <w:lang w:val="en-SG"/>
              </w:rPr>
              <w:t>共同控制。</w:t>
            </w:r>
          </w:p>
        </w:tc>
      </w:tr>
      <w:tr w:rsidR="003649CB" w:rsidRPr="003F1FB2" w14:paraId="27FFF7D4" w14:textId="77777777" w:rsidTr="00CB4F7D">
        <w:trPr>
          <w:trHeight w:val="251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3F1FB2" w:rsidRDefault="003649C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3F1FB2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55F9BD21" w:rsidR="003649CB" w:rsidRPr="003F1FB2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3F1FB2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1.</w:t>
            </w:r>
            <w:r w:rsidRPr="003F1FB2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 w:rsidR="00CB4F7D" w:rsidRPr="003F1FB2">
              <w:rPr>
                <w:rFonts w:hint="eastAsia"/>
                <w:sz w:val="22"/>
                <w:szCs w:val="22"/>
              </w:rPr>
              <w:t>亿滋</w:t>
            </w:r>
          </w:p>
        </w:tc>
        <w:tc>
          <w:tcPr>
            <w:tcW w:w="6095" w:type="dxa"/>
            <w:shd w:val="clear" w:color="auto" w:fill="auto"/>
          </w:tcPr>
          <w:p w14:paraId="7DE3D219" w14:textId="70C4EE62" w:rsidR="003649CB" w:rsidRPr="003F1FB2" w:rsidRDefault="00CB4F7D" w:rsidP="003D6AFD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  <w:bookmarkStart w:id="1" w:name="_Hlk29388424"/>
            <w:r w:rsidRPr="003F1FB2">
              <w:rPr>
                <w:rFonts w:hint="eastAsia"/>
                <w:sz w:val="22"/>
                <w:szCs w:val="22"/>
              </w:rPr>
              <w:t>亿滋是一家跨国零食企业，品牌主要涵盖</w:t>
            </w:r>
            <w:r w:rsidRPr="003F1FB2">
              <w:rPr>
                <w:rFonts w:hint="eastAsia"/>
                <w:sz w:val="22"/>
                <w:szCs w:val="22"/>
              </w:rPr>
              <w:t>5</w:t>
            </w:r>
            <w:r w:rsidRPr="003F1FB2">
              <w:rPr>
                <w:rFonts w:hint="eastAsia"/>
                <w:sz w:val="22"/>
                <w:szCs w:val="22"/>
              </w:rPr>
              <w:t>个产品类别：饼干、巧克力、口香糖和糖果、饮料，以及奶酪和杂货。</w:t>
            </w:r>
            <w:bookmarkEnd w:id="1"/>
          </w:p>
        </w:tc>
      </w:tr>
      <w:tr w:rsidR="003649CB" w:rsidRPr="003F1FB2" w14:paraId="6D02F31F" w14:textId="77777777" w:rsidTr="00CB4F7D">
        <w:trPr>
          <w:trHeight w:val="79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3F1FB2" w:rsidRDefault="003649C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252A954B" w:rsidR="003649CB" w:rsidRPr="003F1FB2" w:rsidRDefault="003D6AFD" w:rsidP="003F1FB2">
            <w:pPr>
              <w:snapToGrid w:val="0"/>
              <w:jc w:val="left"/>
              <w:rPr>
                <w:sz w:val="22"/>
                <w:szCs w:val="22"/>
              </w:rPr>
            </w:pPr>
            <w:r w:rsidRPr="003F1FB2">
              <w:rPr>
                <w:rFonts w:hint="eastAsia"/>
                <w:sz w:val="22"/>
                <w:szCs w:val="22"/>
              </w:rPr>
              <w:t>2.</w:t>
            </w:r>
            <w:r w:rsidRPr="003F1FB2">
              <w:rPr>
                <w:sz w:val="22"/>
                <w:szCs w:val="22"/>
              </w:rPr>
              <w:t xml:space="preserve"> </w:t>
            </w:r>
            <w:r w:rsidR="00CB4F7D" w:rsidRPr="003F1FB2">
              <w:rPr>
                <w:sz w:val="22"/>
                <w:szCs w:val="22"/>
              </w:rPr>
              <w:t>翱兰</w:t>
            </w:r>
          </w:p>
        </w:tc>
        <w:tc>
          <w:tcPr>
            <w:tcW w:w="6095" w:type="dxa"/>
            <w:shd w:val="clear" w:color="auto" w:fill="auto"/>
          </w:tcPr>
          <w:p w14:paraId="6FECDDB9" w14:textId="06D624C7" w:rsidR="003649CB" w:rsidRPr="003F1FB2" w:rsidRDefault="00CB4F7D" w:rsidP="003649C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3F1FB2">
              <w:rPr>
                <w:sz w:val="22"/>
                <w:szCs w:val="22"/>
              </w:rPr>
              <w:t>翱兰</w:t>
            </w:r>
            <w:r w:rsidRPr="003F1FB2">
              <w:rPr>
                <w:bCs/>
                <w:sz w:val="22"/>
                <w:szCs w:val="22"/>
              </w:rPr>
              <w:t>集团</w:t>
            </w:r>
            <w:r w:rsidRPr="003F1FB2">
              <w:rPr>
                <w:sz w:val="22"/>
                <w:szCs w:val="22"/>
              </w:rPr>
              <w:t>是一家</w:t>
            </w:r>
            <w:r w:rsidR="003F1FB2" w:rsidRPr="003F1FB2">
              <w:rPr>
                <w:rFonts w:hint="eastAsia"/>
                <w:sz w:val="22"/>
                <w:szCs w:val="22"/>
              </w:rPr>
              <w:t>食品和农产品公司，在全球范围内提供食品、配料、饲料</w:t>
            </w:r>
            <w:r w:rsidR="003F1FB2">
              <w:rPr>
                <w:rFonts w:hint="eastAsia"/>
                <w:sz w:val="22"/>
                <w:szCs w:val="22"/>
              </w:rPr>
              <w:t>以及纤维等产品，其价值链包括种植、加工以及分销业务</w:t>
            </w:r>
            <w:r w:rsidRPr="003F1FB2">
              <w:rPr>
                <w:sz w:val="22"/>
                <w:szCs w:val="22"/>
              </w:rPr>
              <w:t>。</w:t>
            </w:r>
          </w:p>
        </w:tc>
      </w:tr>
      <w:tr w:rsidR="00D92E0B" w:rsidRPr="003F1FB2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3F1FB2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A68EEF0" w:rsidR="00D92E0B" w:rsidRPr="003F1FB2" w:rsidRDefault="003649CB" w:rsidP="003F1FB2">
            <w:pPr>
              <w:snapToGrid w:val="0"/>
              <w:jc w:val="left"/>
              <w:rPr>
                <w:sz w:val="22"/>
                <w:szCs w:val="22"/>
              </w:rPr>
            </w:pPr>
            <w:r w:rsidRPr="003F1FB2">
              <w:rPr>
                <w:sz w:val="22"/>
                <w:szCs w:val="22"/>
              </w:rPr>
              <w:sym w:font="Wingdings" w:char="F06F"/>
            </w:r>
            <w:r w:rsidR="00D92E0B" w:rsidRPr="003F1FB2">
              <w:rPr>
                <w:sz w:val="22"/>
                <w:szCs w:val="22"/>
              </w:rPr>
              <w:t xml:space="preserve"> 1</w:t>
            </w:r>
            <w:r w:rsidR="00D92E0B" w:rsidRPr="003F1FB2">
              <w:rPr>
                <w:sz w:val="22"/>
                <w:szCs w:val="22"/>
              </w:rPr>
              <w:t>、在同一相关市场，所有参与集中的经营者所占市场份额之和小于</w:t>
            </w:r>
            <w:r w:rsidR="00D92E0B" w:rsidRPr="003F1FB2">
              <w:rPr>
                <w:sz w:val="22"/>
                <w:szCs w:val="22"/>
              </w:rPr>
              <w:t>15%</w:t>
            </w:r>
            <w:r w:rsidR="00D92E0B" w:rsidRPr="003F1FB2">
              <w:rPr>
                <w:sz w:val="22"/>
                <w:szCs w:val="22"/>
              </w:rPr>
              <w:t>。</w:t>
            </w:r>
          </w:p>
        </w:tc>
      </w:tr>
      <w:tr w:rsidR="00D92E0B" w:rsidRPr="003F1FB2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3F1FB2" w:rsidRDefault="00705E85" w:rsidP="003F1FB2">
            <w:pPr>
              <w:snapToGrid w:val="0"/>
              <w:jc w:val="left"/>
              <w:rPr>
                <w:sz w:val="22"/>
                <w:szCs w:val="22"/>
              </w:rPr>
            </w:pPr>
            <w:r w:rsidRPr="003F1FB2">
              <w:rPr>
                <w:sz w:val="22"/>
                <w:szCs w:val="22"/>
              </w:rPr>
              <w:sym w:font="Wingdings" w:char="F06F"/>
            </w:r>
            <w:r w:rsidR="00D92E0B" w:rsidRPr="003F1FB2">
              <w:rPr>
                <w:rFonts w:hint="eastAsia"/>
                <w:sz w:val="22"/>
                <w:szCs w:val="22"/>
              </w:rPr>
              <w:t xml:space="preserve"> </w:t>
            </w:r>
            <w:r w:rsidR="00D92E0B" w:rsidRPr="003F1FB2">
              <w:rPr>
                <w:sz w:val="22"/>
                <w:szCs w:val="22"/>
              </w:rPr>
              <w:t>2</w:t>
            </w:r>
            <w:r w:rsidR="00D92E0B" w:rsidRPr="003F1FB2">
              <w:rPr>
                <w:sz w:val="22"/>
                <w:szCs w:val="22"/>
              </w:rPr>
              <w:t>、存在上下游关系的参与集中的经营者，在上下游市场所占的市场份额均小于</w:t>
            </w:r>
            <w:r w:rsidR="00D92E0B" w:rsidRPr="003F1FB2">
              <w:rPr>
                <w:sz w:val="22"/>
                <w:szCs w:val="22"/>
              </w:rPr>
              <w:t>25%</w:t>
            </w:r>
            <w:r w:rsidR="00D92E0B" w:rsidRPr="003F1FB2">
              <w:rPr>
                <w:sz w:val="22"/>
                <w:szCs w:val="22"/>
              </w:rPr>
              <w:t>。</w:t>
            </w:r>
          </w:p>
        </w:tc>
      </w:tr>
      <w:tr w:rsidR="00D92E0B" w:rsidRPr="003F1FB2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1414FC43" w:rsidR="00D92E0B" w:rsidRPr="003F1FB2" w:rsidRDefault="00D35BF8" w:rsidP="003F1FB2">
            <w:pPr>
              <w:snapToGrid w:val="0"/>
              <w:jc w:val="left"/>
              <w:rPr>
                <w:sz w:val="22"/>
                <w:szCs w:val="22"/>
              </w:rPr>
            </w:pPr>
            <w:r>
              <w:rPr>
                <w:bCs/>
              </w:rPr>
              <w:sym w:font="Wingdings" w:char="F0FE"/>
            </w:r>
            <w:r w:rsidR="00D92E0B" w:rsidRPr="003F1FB2">
              <w:rPr>
                <w:sz w:val="22"/>
                <w:szCs w:val="22"/>
              </w:rPr>
              <w:t xml:space="preserve"> 3</w:t>
            </w:r>
            <w:r w:rsidR="00D92E0B" w:rsidRPr="003F1FB2">
              <w:rPr>
                <w:sz w:val="22"/>
                <w:szCs w:val="22"/>
              </w:rPr>
              <w:t>、不在同一相关市场、也不存在上下游关系的参与集中的经营者，在与交易有关的每个市场所占的份额均小于</w:t>
            </w:r>
            <w:r w:rsidR="00D92E0B" w:rsidRPr="003F1FB2">
              <w:rPr>
                <w:sz w:val="22"/>
                <w:szCs w:val="22"/>
              </w:rPr>
              <w:t>25%</w:t>
            </w:r>
            <w:r w:rsidR="00D92E0B" w:rsidRPr="003F1FB2">
              <w:rPr>
                <w:sz w:val="22"/>
                <w:szCs w:val="22"/>
              </w:rPr>
              <w:t>。</w:t>
            </w:r>
          </w:p>
        </w:tc>
      </w:tr>
      <w:tr w:rsidR="00D92E0B" w:rsidRPr="003F1FB2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38E74600" w:rsidR="00D92E0B" w:rsidRPr="003F1FB2" w:rsidRDefault="00CB4F7D" w:rsidP="003F1FB2">
            <w:pPr>
              <w:snapToGrid w:val="0"/>
              <w:jc w:val="left"/>
              <w:rPr>
                <w:sz w:val="22"/>
                <w:szCs w:val="22"/>
              </w:rPr>
            </w:pPr>
            <w:r w:rsidRPr="003F1FB2">
              <w:rPr>
                <w:sz w:val="22"/>
                <w:szCs w:val="22"/>
              </w:rPr>
              <w:sym w:font="Wingdings" w:char="F06F"/>
            </w:r>
            <w:r w:rsidR="00D92E0B" w:rsidRPr="003F1FB2">
              <w:rPr>
                <w:sz w:val="22"/>
                <w:szCs w:val="22"/>
              </w:rPr>
              <w:t xml:space="preserve"> 4</w:t>
            </w:r>
            <w:r w:rsidR="00D92E0B" w:rsidRPr="003F1FB2">
              <w:rPr>
                <w:sz w:val="22"/>
                <w:szCs w:val="22"/>
              </w:rPr>
              <w:t>、参与集中的经营者在中国境外设立合营企业，合营企业不在中国境内从事经济活动。</w:t>
            </w:r>
          </w:p>
        </w:tc>
      </w:tr>
      <w:tr w:rsidR="00D92E0B" w:rsidRPr="003F1FB2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42B446F3" w:rsidR="00D92E0B" w:rsidRPr="003F1FB2" w:rsidRDefault="00D02D73" w:rsidP="003F1FB2">
            <w:pPr>
              <w:snapToGrid w:val="0"/>
              <w:jc w:val="left"/>
              <w:rPr>
                <w:sz w:val="22"/>
                <w:szCs w:val="22"/>
              </w:rPr>
            </w:pPr>
            <w:r w:rsidRPr="003F1FB2">
              <w:rPr>
                <w:sz w:val="22"/>
                <w:szCs w:val="22"/>
              </w:rPr>
              <w:sym w:font="Wingdings" w:char="F06F"/>
            </w:r>
            <w:r w:rsidR="00D92E0B" w:rsidRPr="003F1FB2">
              <w:rPr>
                <w:sz w:val="22"/>
                <w:szCs w:val="22"/>
              </w:rPr>
              <w:t xml:space="preserve"> 5</w:t>
            </w:r>
            <w:r w:rsidR="00D92E0B" w:rsidRPr="003F1FB2">
              <w:rPr>
                <w:sz w:val="22"/>
                <w:szCs w:val="22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3F1FB2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3F1FB2" w:rsidRDefault="00705E85" w:rsidP="003F1FB2">
            <w:pPr>
              <w:snapToGrid w:val="0"/>
              <w:jc w:val="left"/>
              <w:rPr>
                <w:sz w:val="22"/>
                <w:szCs w:val="22"/>
              </w:rPr>
            </w:pPr>
            <w:r w:rsidRPr="003F1FB2">
              <w:rPr>
                <w:sz w:val="22"/>
                <w:szCs w:val="22"/>
              </w:rPr>
              <w:sym w:font="Wingdings" w:char="F06F"/>
            </w:r>
            <w:r w:rsidR="00D92E0B" w:rsidRPr="003F1FB2">
              <w:rPr>
                <w:sz w:val="22"/>
                <w:szCs w:val="22"/>
              </w:rPr>
              <w:t xml:space="preserve"> 6</w:t>
            </w:r>
            <w:r w:rsidR="00D92E0B" w:rsidRPr="003F1FB2">
              <w:rPr>
                <w:sz w:val="22"/>
                <w:szCs w:val="22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3F1FB2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3F1FB2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/>
              </w:rPr>
            </w:pPr>
            <w:r w:rsidRPr="003F1FB2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5CE0C266" w14:textId="77777777" w:rsidR="00F877CB" w:rsidRDefault="00D35BF8" w:rsidP="003F1FB2">
            <w:pPr>
              <w:snapToGrid w:val="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相关产品市场：可可豆供应市场</w:t>
            </w:r>
          </w:p>
          <w:p w14:paraId="23D123A0" w14:textId="77777777" w:rsidR="00D35BF8" w:rsidRDefault="00D35BF8" w:rsidP="003F1FB2">
            <w:pPr>
              <w:snapToGrid w:val="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相关地域市场：全球市场</w:t>
            </w:r>
          </w:p>
          <w:p w14:paraId="4637FACA" w14:textId="77777777" w:rsidR="00D35BF8" w:rsidRDefault="00D35BF8" w:rsidP="003F1FB2">
            <w:pPr>
              <w:snapToGrid w:val="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目标公司市场份额：</w:t>
            </w:r>
            <w:r>
              <w:rPr>
                <w:rFonts w:hint="eastAsia"/>
                <w:sz w:val="22"/>
                <w:szCs w:val="22"/>
              </w:rPr>
              <w:t>[0-5</w:t>
            </w:r>
            <w:r>
              <w:rPr>
                <w:sz w:val="22"/>
                <w:szCs w:val="22"/>
              </w:rPr>
              <w:t xml:space="preserve">] </w:t>
            </w:r>
            <w:r>
              <w:rPr>
                <w:rFonts w:hint="eastAsia"/>
                <w:sz w:val="22"/>
                <w:szCs w:val="22"/>
              </w:rPr>
              <w:t>%</w:t>
            </w:r>
            <w:r>
              <w:rPr>
                <w:rFonts w:hint="eastAsia"/>
                <w:sz w:val="22"/>
                <w:szCs w:val="22"/>
              </w:rPr>
              <w:t>（全球市场）；</w:t>
            </w:r>
            <w:r>
              <w:rPr>
                <w:rFonts w:hint="eastAsia"/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0-5]%</w:t>
            </w:r>
            <w:r>
              <w:rPr>
                <w:rFonts w:hint="eastAsia"/>
                <w:sz w:val="22"/>
                <w:szCs w:val="22"/>
              </w:rPr>
              <w:t>（中国市场）</w:t>
            </w:r>
          </w:p>
          <w:p w14:paraId="117B83DC" w14:textId="461CE866" w:rsidR="007C679E" w:rsidRPr="007C679E" w:rsidRDefault="007C679E" w:rsidP="003F1FB2">
            <w:pPr>
              <w:snapToGrid w:val="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翱兰的市场份额：</w:t>
            </w:r>
            <w:r>
              <w:rPr>
                <w:rFonts w:hint="eastAsia"/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18</w:t>
            </w:r>
            <w:r>
              <w:rPr>
                <w:rFonts w:hint="eastAsia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23</w:t>
            </w:r>
            <w:r>
              <w:rPr>
                <w:rFonts w:hint="eastAsia"/>
                <w:sz w:val="22"/>
                <w:szCs w:val="22"/>
              </w:rPr>
              <w:t>]%</w:t>
            </w:r>
            <w:r>
              <w:rPr>
                <w:rFonts w:hint="eastAsia"/>
                <w:sz w:val="22"/>
                <w:szCs w:val="22"/>
              </w:rPr>
              <w:t>（全球市场）；</w:t>
            </w:r>
            <w:r>
              <w:rPr>
                <w:rFonts w:hint="eastAsia"/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0-5]%</w:t>
            </w:r>
            <w:r>
              <w:rPr>
                <w:rFonts w:hint="eastAsia"/>
                <w:sz w:val="22"/>
                <w:szCs w:val="22"/>
              </w:rPr>
              <w:t>（中国市场）</w:t>
            </w:r>
          </w:p>
        </w:tc>
      </w:tr>
    </w:tbl>
    <w:p w14:paraId="7D493896" w14:textId="77777777" w:rsidR="0005110A" w:rsidRPr="003F1FB2" w:rsidRDefault="0005110A">
      <w:pPr>
        <w:rPr>
          <w:sz w:val="22"/>
          <w:szCs w:val="22"/>
          <w:lang w:val="x-none"/>
        </w:rPr>
      </w:pPr>
    </w:p>
    <w:sectPr w:rsidR="0005110A" w:rsidRPr="003F1F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B69FF" w14:textId="77777777" w:rsidR="00594FD2" w:rsidRDefault="00594FD2" w:rsidP="00D92E0B">
      <w:pPr>
        <w:spacing w:after="0"/>
      </w:pPr>
      <w:r>
        <w:separator/>
      </w:r>
    </w:p>
  </w:endnote>
  <w:endnote w:type="continuationSeparator" w:id="0">
    <w:p w14:paraId="7847ECFC" w14:textId="77777777" w:rsidR="00594FD2" w:rsidRDefault="00594FD2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C794E" w14:textId="77777777" w:rsidR="00C445EC" w:rsidRDefault="00C445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198E3FD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C61568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AA068" w14:textId="77777777" w:rsidR="00C445EC" w:rsidRDefault="00C445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656A40" w14:textId="77777777" w:rsidR="00594FD2" w:rsidRDefault="00594FD2" w:rsidP="00D92E0B">
      <w:pPr>
        <w:spacing w:after="0"/>
      </w:pPr>
      <w:r>
        <w:separator/>
      </w:r>
    </w:p>
  </w:footnote>
  <w:footnote w:type="continuationSeparator" w:id="0">
    <w:p w14:paraId="3723D9F6" w14:textId="77777777" w:rsidR="00594FD2" w:rsidRDefault="00594FD2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BF232" w14:textId="77777777" w:rsidR="00C445EC" w:rsidRDefault="00C445E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65366" w14:textId="77777777" w:rsidR="00C445EC" w:rsidRDefault="00C445E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B5E11" w14:textId="77777777" w:rsidR="00C445EC" w:rsidRDefault="00C445E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5110A"/>
    <w:rsid w:val="0008652E"/>
    <w:rsid w:val="001620F1"/>
    <w:rsid w:val="001E7764"/>
    <w:rsid w:val="00203C50"/>
    <w:rsid w:val="0024351F"/>
    <w:rsid w:val="00251CAC"/>
    <w:rsid w:val="00277DBB"/>
    <w:rsid w:val="002A1281"/>
    <w:rsid w:val="002F1946"/>
    <w:rsid w:val="00346D4D"/>
    <w:rsid w:val="00352AEF"/>
    <w:rsid w:val="003649CB"/>
    <w:rsid w:val="00391E1B"/>
    <w:rsid w:val="003926B2"/>
    <w:rsid w:val="003A28B1"/>
    <w:rsid w:val="003D6AFD"/>
    <w:rsid w:val="003F1FB2"/>
    <w:rsid w:val="00404DFC"/>
    <w:rsid w:val="0041446C"/>
    <w:rsid w:val="00415F9D"/>
    <w:rsid w:val="004331E0"/>
    <w:rsid w:val="00452FF0"/>
    <w:rsid w:val="0047593C"/>
    <w:rsid w:val="004871BD"/>
    <w:rsid w:val="004E5A46"/>
    <w:rsid w:val="004F0041"/>
    <w:rsid w:val="004F26EC"/>
    <w:rsid w:val="00500503"/>
    <w:rsid w:val="0056449A"/>
    <w:rsid w:val="00594FD2"/>
    <w:rsid w:val="00632655"/>
    <w:rsid w:val="0064168F"/>
    <w:rsid w:val="006450E1"/>
    <w:rsid w:val="00650DB8"/>
    <w:rsid w:val="00663A18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7C679E"/>
    <w:rsid w:val="008436B7"/>
    <w:rsid w:val="00843C10"/>
    <w:rsid w:val="00852A85"/>
    <w:rsid w:val="008562CE"/>
    <w:rsid w:val="008656E0"/>
    <w:rsid w:val="008A3B57"/>
    <w:rsid w:val="009004F6"/>
    <w:rsid w:val="00944E3F"/>
    <w:rsid w:val="00947492"/>
    <w:rsid w:val="00950430"/>
    <w:rsid w:val="00955B7B"/>
    <w:rsid w:val="00966276"/>
    <w:rsid w:val="0099230E"/>
    <w:rsid w:val="00993527"/>
    <w:rsid w:val="009D60C7"/>
    <w:rsid w:val="00A11B9B"/>
    <w:rsid w:val="00A67BDD"/>
    <w:rsid w:val="00A766C7"/>
    <w:rsid w:val="00AE00C4"/>
    <w:rsid w:val="00AE2E10"/>
    <w:rsid w:val="00B15B57"/>
    <w:rsid w:val="00B80E6D"/>
    <w:rsid w:val="00B851A0"/>
    <w:rsid w:val="00BC063A"/>
    <w:rsid w:val="00BC6281"/>
    <w:rsid w:val="00BF6B18"/>
    <w:rsid w:val="00C445EC"/>
    <w:rsid w:val="00C61568"/>
    <w:rsid w:val="00C855C4"/>
    <w:rsid w:val="00CB4F7D"/>
    <w:rsid w:val="00CD73F7"/>
    <w:rsid w:val="00D02D73"/>
    <w:rsid w:val="00D211F6"/>
    <w:rsid w:val="00D35BF8"/>
    <w:rsid w:val="00D458E2"/>
    <w:rsid w:val="00D762FD"/>
    <w:rsid w:val="00D91095"/>
    <w:rsid w:val="00D92E0B"/>
    <w:rsid w:val="00DC05CD"/>
    <w:rsid w:val="00DE21ED"/>
    <w:rsid w:val="00E23939"/>
    <w:rsid w:val="00E430EF"/>
    <w:rsid w:val="00E44950"/>
    <w:rsid w:val="00E70FDD"/>
    <w:rsid w:val="00E94D11"/>
    <w:rsid w:val="00F36519"/>
    <w:rsid w:val="00F4045F"/>
    <w:rsid w:val="00F877CB"/>
    <w:rsid w:val="00F87A63"/>
    <w:rsid w:val="00FA0567"/>
    <w:rsid w:val="00FC7EB3"/>
    <w:rsid w:val="00FD21DC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a"/>
    <w:link w:val="ad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ad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c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a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a0"/>
    <w:uiPriority w:val="99"/>
    <w:rsid w:val="003649CB"/>
    <w:rPr>
      <w:vertAlign w:val="superscript"/>
    </w:rPr>
  </w:style>
  <w:style w:type="paragraph" w:styleId="af">
    <w:name w:val="Balloon Text"/>
    <w:basedOn w:val="a"/>
    <w:link w:val="af0"/>
    <w:uiPriority w:val="99"/>
    <w:semiHidden/>
    <w:unhideWhenUsed/>
    <w:rsid w:val="00D02D73"/>
    <w:pPr>
      <w:spacing w:after="0"/>
    </w:pPr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D02D73"/>
    <w:rPr>
      <w:rFonts w:ascii="Times New Roman" w:eastAsia="宋体" w:hAnsi="Times New Roman" w:cs="Times New Roman"/>
      <w:sz w:val="18"/>
      <w:szCs w:val="18"/>
      <w:lang w:bidi="ar-AE"/>
    </w:rPr>
  </w:style>
  <w:style w:type="character" w:styleId="af1">
    <w:name w:val="annotation reference"/>
    <w:basedOn w:val="a0"/>
    <w:uiPriority w:val="99"/>
    <w:semiHidden/>
    <w:unhideWhenUsed/>
    <w:rsid w:val="00D02D73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D02D73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D02D73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D02D73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D02D73"/>
    <w:rPr>
      <w:rFonts w:ascii="Times New Roman" w:eastAsia="宋体" w:hAnsi="Times New Roman" w:cs="Times New Roman"/>
      <w:b/>
      <w:bCs/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keywords/>
  <cp:lastModifiedBy>ZQF</cp:lastModifiedBy>
  <cp:revision>3</cp:revision>
  <dcterms:created xsi:type="dcterms:W3CDTF">2020-04-07T03:52:00Z</dcterms:created>
  <dcterms:modified xsi:type="dcterms:W3CDTF">2020-04-07T04:50:00Z</dcterms:modified>
</cp:coreProperties>
</file>