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仿宋_GB2312" w:hAnsi="黑体" w:eastAsia="仿宋_GB2312" w:cs="Arial"/>
          <w:b/>
          <w:sz w:val="24"/>
          <w:szCs w:val="24"/>
        </w:rPr>
      </w:pPr>
      <w:bookmarkStart w:id="0" w:name="_GoBack"/>
      <w:bookmarkEnd w:id="0"/>
      <w:r>
        <w:rPr>
          <w:rFonts w:hint="eastAsia" w:ascii="仿宋_GB2312" w:hAnsi="黑体" w:eastAsia="仿宋_GB2312" w:cs="Arial"/>
          <w:b/>
          <w:sz w:val="24"/>
          <w:szCs w:val="24"/>
        </w:rPr>
        <w:t>经营者集中简易案件公示表</w:t>
      </w:r>
    </w:p>
    <w:p>
      <w:pPr>
        <w:spacing w:line="440" w:lineRule="exact"/>
        <w:ind w:firstLine="634" w:firstLineChars="302"/>
        <w:rPr>
          <w:rFonts w:ascii="Arial" w:hAnsi="Arial" w:eastAsia="仿宋_GB2312" w:cs="Arial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比利时富杰保险国际股份有限公司收购太平再保险有限公司股权案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Ageas Insurance International NV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（中文译名比利时富杰保险国际股份有限公司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，以下简称“</w:t>
            </w: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富杰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”）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拟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认购</w:t>
            </w:r>
            <w:r>
              <w:rPr>
                <w:rFonts w:ascii="Arial" w:hAnsi="Arial" w:eastAsia="仿宋_GB2312" w:cs="Arial"/>
              </w:rPr>
              <w:t>太平再保险有限公司（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以下简称“</w:t>
            </w: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太平再保险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”</w:t>
            </w:r>
            <w:r>
              <w:rPr>
                <w:rFonts w:ascii="Arial" w:hAnsi="Arial" w:eastAsia="仿宋_GB2312" w:cs="Arial"/>
              </w:rPr>
              <w:t>）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19,270,333股新发行的普通股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（“</w:t>
            </w:r>
            <w:r>
              <w:rPr>
                <w:rFonts w:ascii="Arial" w:hAnsi="Arial" w:eastAsia="仿宋_GB2312" w:cs="Arial"/>
                <w:b/>
                <w:color w:val="333333"/>
                <w:kern w:val="0"/>
                <w:szCs w:val="21"/>
              </w:rPr>
              <w:t>本次交易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”）。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本次交易完成后，富杰将持有太平再保险约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24.99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%的股份，与Effectual Assets Limited（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太平再保险的现有股东，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以下简称“</w:t>
            </w: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Effectual Assets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”）共同控制太平再保险。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经营者简介</w:t>
            </w:r>
          </w:p>
        </w:tc>
        <w:tc>
          <w:tcPr>
            <w:tcW w:w="1796" w:type="dxa"/>
          </w:tcPr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富杰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富杰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是一家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注册于比利时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的有限责任公司，是ageas SA/NV</w:t>
            </w:r>
            <w:r>
              <w:rPr>
                <w:rFonts w:ascii="Arial" w:hAnsi="Arial" w:eastAsia="仿宋_GB2312" w:cs="Arial"/>
                <w:szCs w:val="21"/>
              </w:rPr>
              <w:t>（与其控制的关联实体合称“</w:t>
            </w:r>
            <w:r>
              <w:rPr>
                <w:rFonts w:ascii="Arial" w:hAnsi="Arial" w:eastAsia="仿宋_GB2312" w:cs="Arial"/>
                <w:b/>
                <w:szCs w:val="21"/>
              </w:rPr>
              <w:t>Ageas集团</w:t>
            </w:r>
            <w:r>
              <w:rPr>
                <w:rFonts w:ascii="Arial" w:hAnsi="Arial" w:eastAsia="仿宋_GB2312" w:cs="Arial"/>
                <w:szCs w:val="21"/>
              </w:rPr>
              <w:t>”）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旗下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的一家投资控股公司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。Ageas集团业务涉及欧洲和亚洲14个国家，为零售客户和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商业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客户提供人身保险和财产保险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</w:p>
        </w:tc>
        <w:tc>
          <w:tcPr>
            <w:tcW w:w="1796" w:type="dxa"/>
          </w:tcPr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Effectual Assets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Effectual Assets是一家注册于维尔京群岛的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有限责任公司，系</w:t>
            </w:r>
            <w:r>
              <w:rPr>
                <w:rFonts w:ascii="Arial" w:hAnsi="Arial" w:eastAsia="仿宋_GB2312" w:cs="Arial"/>
                <w:szCs w:val="21"/>
              </w:rPr>
              <w:t>中国太平保险集团有限责任公司（以下简称“</w:t>
            </w:r>
            <w:r>
              <w:rPr>
                <w:rFonts w:ascii="Arial" w:hAnsi="Arial" w:eastAsia="仿宋_GB2312" w:cs="Arial"/>
                <w:b/>
                <w:szCs w:val="21"/>
              </w:rPr>
              <w:t>中国太平</w:t>
            </w:r>
            <w:r>
              <w:rPr>
                <w:rFonts w:ascii="Arial" w:hAnsi="Arial" w:eastAsia="仿宋_GB2312" w:cs="Arial"/>
                <w:szCs w:val="21"/>
              </w:rPr>
              <w:t>”，与其控制的关联实体合称“</w:t>
            </w:r>
            <w:r>
              <w:rPr>
                <w:rFonts w:ascii="Arial" w:hAnsi="Arial" w:eastAsia="仿宋_GB2312" w:cs="Arial"/>
                <w:b/>
                <w:szCs w:val="21"/>
              </w:rPr>
              <w:t>太平集团</w:t>
            </w:r>
            <w:r>
              <w:rPr>
                <w:rFonts w:ascii="Arial" w:hAnsi="Arial" w:eastAsia="仿宋_GB2312" w:cs="Arial"/>
                <w:szCs w:val="21"/>
              </w:rPr>
              <w:t>”）旗下一家</w:t>
            </w:r>
            <w:r>
              <w:rPr>
                <w:rFonts w:ascii="Arial" w:hAnsi="Arial" w:eastAsia="仿宋_GB2312" w:cs="Arial"/>
              </w:rPr>
              <w:t>投资控股公司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。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太平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集团是一家大型跨国金融保险集团，经营范围涉及中国内地、中国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香港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、中国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澳门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、北美、欧洲、大洋洲、东亚及东南亚等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国家和地区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>，业务范围涵盖寿险、财险、养老保险、再保险、再保险经纪及保险代理、互联网保险、资产管理、证券经纪、金融租赁、不动产投资、养老医疗健康产业投资等领域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</w:rPr>
              <w:sym w:font="Wingdings" w:char="F0FE"/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</w:rPr>
              <w:sym w:font="Wingdings" w:char="F0FE"/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□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□</w:t>
            </w:r>
            <w:r>
              <w:rPr>
                <w:rFonts w:ascii="Arial" w:hAnsi="Arial" w:eastAsia="仿宋_GB2312" w:cs="Arial"/>
              </w:rPr>
              <w:t xml:space="preserve"> 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□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eastAsia="仿宋_GB2312" w:cs="Arial"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</w:rPr>
              <w:t>□</w:t>
            </w:r>
            <w:r>
              <w:rPr>
                <w:rFonts w:ascii="Arial" w:hAnsi="Arial" w:eastAsia="仿宋_GB2312" w:cs="Arial"/>
                <w:color w:val="333333"/>
                <w:kern w:val="0"/>
                <w:szCs w:val="21"/>
              </w:rPr>
              <w:t xml:space="preserve"> </w:t>
            </w:r>
            <w:r>
              <w:rPr>
                <w:rFonts w:ascii="Arial" w:hAnsi="Arial" w:eastAsia="仿宋_GB2312" w:cs="Arial"/>
                <w:color w:val="333333"/>
                <w:kern w:val="0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Arial" w:hAnsi="Arial" w:eastAsia="仿宋_GB2312" w:cs="Arial"/>
                <w:b/>
                <w:color w:val="333333"/>
                <w:kern w:val="0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0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Arial" w:hAnsi="Arial" w:eastAsia="仿宋_GB2312" w:cs="Arial"/>
              </w:rPr>
            </w:pPr>
            <w:r>
              <w:rPr>
                <w:rFonts w:ascii="Arial" w:hAnsi="Arial" w:eastAsia="仿宋_GB2312" w:cs="Arial"/>
                <w:b/>
              </w:rPr>
              <w:t>相关产品市场</w:t>
            </w:r>
            <w:r>
              <w:rPr>
                <w:rFonts w:ascii="Arial" w:hAnsi="Arial" w:eastAsia="仿宋_GB2312" w:cs="Arial"/>
              </w:rPr>
              <w:t>：再保险服务市场</w:t>
            </w:r>
          </w:p>
          <w:p>
            <w:pPr>
              <w:pStyle w:val="10"/>
              <w:spacing w:line="500" w:lineRule="exact"/>
              <w:ind w:left="420" w:firstLine="0" w:firstLineChars="0"/>
              <w:rPr>
                <w:rFonts w:ascii="Arial" w:hAnsi="Arial" w:eastAsia="仿宋_GB2312" w:cs="Arial"/>
              </w:rPr>
            </w:pPr>
            <w:r>
              <w:rPr>
                <w:rFonts w:ascii="Arial" w:hAnsi="Arial" w:eastAsia="仿宋_GB2312" w:cs="Arial"/>
                <w:b/>
              </w:rPr>
              <w:t>相关地域市场：</w:t>
            </w:r>
            <w:r>
              <w:rPr>
                <w:rFonts w:ascii="Arial" w:hAnsi="Arial" w:eastAsia="仿宋_GB2312" w:cs="Arial"/>
              </w:rPr>
              <w:t>全球市场</w:t>
            </w:r>
          </w:p>
          <w:p>
            <w:pPr>
              <w:pStyle w:val="10"/>
              <w:spacing w:line="500" w:lineRule="exact"/>
              <w:ind w:left="420" w:firstLine="0" w:firstLineChars="0"/>
              <w:rPr>
                <w:rFonts w:ascii="Arial" w:hAnsi="Arial" w:eastAsia="仿宋_GB2312" w:cs="Arial"/>
              </w:rPr>
            </w:pPr>
            <w:r>
              <w:rPr>
                <w:rFonts w:ascii="Arial" w:hAnsi="Arial" w:eastAsia="仿宋_GB2312" w:cs="Arial"/>
                <w:b/>
              </w:rPr>
              <w:t>市场份额：</w:t>
            </w:r>
            <w:r>
              <w:rPr>
                <w:rFonts w:ascii="Arial" w:hAnsi="Arial" w:eastAsia="仿宋_GB2312" w:cs="Arial"/>
              </w:rPr>
              <w:t>太平再保险[0-5]%、Ageas集团[0-5]%</w:t>
            </w:r>
          </w:p>
          <w:p>
            <w:pPr>
              <w:pStyle w:val="10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Arial" w:hAnsi="Arial" w:eastAsia="仿宋_GB2312" w:cs="Arial"/>
                <w:szCs w:val="21"/>
              </w:rPr>
            </w:pPr>
            <w:r>
              <w:rPr>
                <w:rFonts w:ascii="Arial" w:hAnsi="Arial" w:eastAsia="仿宋_GB2312" w:cs="Arial"/>
                <w:b/>
                <w:szCs w:val="21"/>
              </w:rPr>
              <w:t>相关产品</w:t>
            </w:r>
            <w:r>
              <w:rPr>
                <w:rFonts w:ascii="Arial" w:hAnsi="Arial" w:eastAsia="仿宋_GB2312" w:cs="Arial"/>
                <w:b/>
              </w:rPr>
              <w:t>市场：</w:t>
            </w:r>
            <w:r>
              <w:rPr>
                <w:rFonts w:ascii="Arial" w:hAnsi="Arial" w:eastAsia="仿宋_GB2312" w:cs="Arial"/>
              </w:rPr>
              <w:t>人身保险服务市场</w:t>
            </w:r>
          </w:p>
          <w:p>
            <w:pPr>
              <w:pStyle w:val="10"/>
              <w:spacing w:line="500" w:lineRule="exact"/>
              <w:ind w:left="420" w:firstLine="0" w:firstLineChars="0"/>
              <w:rPr>
                <w:rFonts w:ascii="Arial" w:hAnsi="Arial" w:eastAsia="仿宋_GB2312" w:cs="Arial"/>
                <w:szCs w:val="21"/>
              </w:rPr>
            </w:pPr>
            <w:r>
              <w:rPr>
                <w:rFonts w:ascii="Arial" w:hAnsi="Arial" w:eastAsia="仿宋_GB2312" w:cs="Arial"/>
                <w:b/>
                <w:szCs w:val="21"/>
              </w:rPr>
              <w:t>相关地域市场：</w:t>
            </w:r>
            <w:r>
              <w:rPr>
                <w:rFonts w:ascii="Arial" w:hAnsi="Arial" w:eastAsia="仿宋_GB2312" w:cs="Arial"/>
                <w:szCs w:val="21"/>
              </w:rPr>
              <w:t>中国市场</w:t>
            </w:r>
          </w:p>
          <w:p>
            <w:pPr>
              <w:pStyle w:val="10"/>
              <w:spacing w:line="500" w:lineRule="exact"/>
              <w:ind w:left="420" w:firstLine="0" w:firstLineChars="0"/>
              <w:rPr>
                <w:rFonts w:ascii="Arial" w:hAnsi="Arial" w:eastAsia="仿宋_GB2312" w:cs="Arial"/>
              </w:rPr>
            </w:pPr>
            <w:r>
              <w:rPr>
                <w:rFonts w:ascii="Arial" w:hAnsi="Arial" w:eastAsia="仿宋_GB2312" w:cs="Arial"/>
                <w:b/>
                <w:szCs w:val="21"/>
              </w:rPr>
              <w:t>市场份额</w:t>
            </w:r>
            <w:r>
              <w:rPr>
                <w:rFonts w:ascii="Arial" w:hAnsi="Arial" w:eastAsia="仿宋_GB2312" w:cs="Arial"/>
                <w:b/>
              </w:rPr>
              <w:t>：</w:t>
            </w:r>
            <w:r>
              <w:rPr>
                <w:rFonts w:ascii="Arial" w:hAnsi="Arial" w:eastAsia="仿宋_GB2312" w:cs="Arial"/>
              </w:rPr>
              <w:t>太平集团[0-5]%、Ageas集团</w:t>
            </w:r>
            <w:r>
              <w:rPr>
                <w:rFonts w:ascii="Arial" w:hAnsi="Arial" w:eastAsia="仿宋_GB2312" w:cs="Arial"/>
                <w:szCs w:val="21"/>
              </w:rPr>
              <w:t>[</w:t>
            </w:r>
            <w:r>
              <w:rPr>
                <w:rFonts w:ascii="Arial" w:hAnsi="Arial" w:eastAsia="仿宋_GB2312" w:cs="Arial"/>
              </w:rPr>
              <w:t>0</w:t>
            </w:r>
            <w:r>
              <w:rPr>
                <w:rFonts w:ascii="Arial" w:hAnsi="Arial" w:eastAsia="仿宋_GB2312" w:cs="Arial"/>
                <w:szCs w:val="21"/>
              </w:rPr>
              <w:t>-5]%</w:t>
            </w:r>
          </w:p>
          <w:p>
            <w:pPr>
              <w:pStyle w:val="10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Arial" w:hAnsi="Arial" w:eastAsia="仿宋_GB2312" w:cs="Arial"/>
                <w:szCs w:val="21"/>
              </w:rPr>
            </w:pPr>
            <w:r>
              <w:rPr>
                <w:rFonts w:ascii="Arial" w:hAnsi="Arial" w:eastAsia="仿宋_GB2312" w:cs="Arial"/>
                <w:b/>
                <w:szCs w:val="21"/>
              </w:rPr>
              <w:t>相关产品市场</w:t>
            </w:r>
            <w:r>
              <w:rPr>
                <w:rFonts w:ascii="Arial" w:hAnsi="Arial" w:eastAsia="仿宋_GB2312" w:cs="Arial"/>
                <w:szCs w:val="21"/>
              </w:rPr>
              <w:t>：</w:t>
            </w:r>
            <w:r>
              <w:rPr>
                <w:rFonts w:ascii="Arial" w:hAnsi="Arial" w:eastAsia="仿宋_GB2312" w:cs="Arial"/>
              </w:rPr>
              <w:t>财产保险服务市场</w:t>
            </w:r>
          </w:p>
          <w:p>
            <w:pPr>
              <w:pStyle w:val="10"/>
              <w:spacing w:line="500" w:lineRule="exact"/>
              <w:ind w:left="420" w:firstLine="0" w:firstLineChars="0"/>
              <w:rPr>
                <w:rFonts w:ascii="Arial" w:hAnsi="Arial" w:eastAsia="仿宋_GB2312" w:cs="Arial"/>
                <w:szCs w:val="21"/>
              </w:rPr>
            </w:pPr>
            <w:r>
              <w:rPr>
                <w:rFonts w:ascii="Arial" w:hAnsi="Arial" w:eastAsia="仿宋_GB2312" w:cs="Arial"/>
                <w:b/>
                <w:szCs w:val="21"/>
              </w:rPr>
              <w:t>相关地域市场</w:t>
            </w:r>
            <w:r>
              <w:rPr>
                <w:rFonts w:ascii="Arial" w:hAnsi="Arial" w:eastAsia="仿宋_GB2312" w:cs="Arial"/>
                <w:szCs w:val="21"/>
              </w:rPr>
              <w:t>：中国市场</w:t>
            </w:r>
          </w:p>
          <w:p>
            <w:pPr>
              <w:pStyle w:val="10"/>
              <w:spacing w:line="500" w:lineRule="exact"/>
              <w:ind w:left="420" w:firstLine="0" w:firstLineChars="0"/>
              <w:rPr>
                <w:rFonts w:ascii="Arial" w:hAnsi="Arial" w:eastAsia="仿宋_GB2312" w:cs="Arial"/>
              </w:rPr>
            </w:pPr>
            <w:r>
              <w:rPr>
                <w:rFonts w:ascii="Arial" w:hAnsi="Arial" w:eastAsia="仿宋_GB2312" w:cs="Arial"/>
                <w:b/>
                <w:szCs w:val="21"/>
              </w:rPr>
              <w:t>市场份额</w:t>
            </w:r>
            <w:r>
              <w:rPr>
                <w:rFonts w:ascii="Arial" w:hAnsi="Arial" w:eastAsia="仿宋_GB2312" w:cs="Arial"/>
              </w:rPr>
              <w:t xml:space="preserve">：太平集团[0-5]% </w:t>
            </w:r>
          </w:p>
          <w:p>
            <w:pPr>
              <w:spacing w:line="500" w:lineRule="exact"/>
              <w:rPr>
                <w:rFonts w:ascii="Arial" w:hAnsi="Arial" w:eastAsia="仿宋_GB2312" w:cs="Arial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Arial" w:hAnsi="Arial" w:eastAsia="仿宋_GB2312" w:cs="Arial"/>
        </w:rPr>
      </w:pPr>
    </w:p>
    <w:p>
      <w:pPr>
        <w:snapToGrid w:val="0"/>
        <w:spacing w:line="240" w:lineRule="exact"/>
        <w:jc w:val="left"/>
        <w:rPr>
          <w:rFonts w:ascii="Arial" w:hAnsi="Arial" w:eastAsia="仿宋_GB2312" w:cs="Arial"/>
        </w:rPr>
      </w:pPr>
      <w:r>
        <w:rPr>
          <w:rFonts w:ascii="Arial" w:hAnsi="Arial" w:eastAsia="仿宋_GB2312" w:cs="Arial"/>
        </w:rPr>
        <w:t>注解：</w:t>
      </w:r>
    </w:p>
    <w:p>
      <w:pPr>
        <w:snapToGrid w:val="0"/>
        <w:spacing w:line="240" w:lineRule="exact"/>
        <w:jc w:val="left"/>
        <w:rPr>
          <w:rFonts w:ascii="Arial" w:hAnsi="Arial" w:eastAsia="仿宋_GB2312" w:cs="Arial"/>
        </w:rPr>
      </w:pPr>
    </w:p>
    <w:p>
      <w:pPr>
        <w:pStyle w:val="10"/>
        <w:numPr>
          <w:ilvl w:val="0"/>
          <w:numId w:val="3"/>
        </w:numPr>
        <w:snapToGrid w:val="0"/>
        <w:spacing w:line="360" w:lineRule="auto"/>
        <w:ind w:firstLineChars="0"/>
        <w:jc w:val="left"/>
        <w:rPr>
          <w:rFonts w:ascii="Arial" w:hAnsi="Arial" w:eastAsia="仿宋_GB2312" w:cs="Arial"/>
        </w:rPr>
      </w:pPr>
      <w:r>
        <w:rPr>
          <w:rFonts w:ascii="Arial" w:hAnsi="Arial" w:eastAsia="仿宋_GB2312" w:cs="Arial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pStyle w:val="10"/>
        <w:numPr>
          <w:ilvl w:val="0"/>
          <w:numId w:val="3"/>
        </w:numPr>
        <w:snapToGrid w:val="0"/>
        <w:spacing w:line="360" w:lineRule="auto"/>
        <w:ind w:firstLineChars="0"/>
        <w:jc w:val="left"/>
        <w:rPr>
          <w:rFonts w:ascii="Arial" w:hAnsi="Arial" w:eastAsia="仿宋_GB2312" w:cs="Arial"/>
          <w:szCs w:val="21"/>
        </w:rPr>
      </w:pPr>
      <w:r>
        <w:rPr>
          <w:rFonts w:ascii="Arial" w:hAnsi="Arial" w:eastAsia="仿宋_GB2312" w:cs="Arial"/>
        </w:rPr>
        <w:t>申报方申请简易案件的理由是基于第4项、第5项时，无须在备注中说明相关市场和市场份额。</w:t>
      </w:r>
    </w:p>
    <w:p>
      <w:pPr>
        <w:pStyle w:val="10"/>
        <w:numPr>
          <w:ilvl w:val="0"/>
          <w:numId w:val="3"/>
        </w:numPr>
        <w:snapToGrid w:val="0"/>
        <w:spacing w:line="360" w:lineRule="auto"/>
        <w:ind w:firstLineChars="0"/>
        <w:jc w:val="left"/>
        <w:rPr>
          <w:rFonts w:ascii="Arial" w:hAnsi="Arial" w:eastAsia="仿宋_GB2312" w:cs="Arial"/>
        </w:rPr>
      </w:pPr>
      <w:r>
        <w:rPr>
          <w:rFonts w:ascii="Arial" w:hAnsi="Arial" w:eastAsia="仿宋_GB2312" w:cs="Arial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011971"/>
    <w:multiLevelType w:val="multilevel"/>
    <w:tmpl w:val="69011971"/>
    <w:lvl w:ilvl="0" w:tentative="0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8C7484"/>
    <w:multiLevelType w:val="multilevel"/>
    <w:tmpl w:val="6C8C7484"/>
    <w:lvl w:ilvl="0" w:tentative="0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2DC2756"/>
    <w:multiLevelType w:val="multilevel"/>
    <w:tmpl w:val="72DC275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110B"/>
    <w:rsid w:val="00037065"/>
    <w:rsid w:val="00061C88"/>
    <w:rsid w:val="000D7EBA"/>
    <w:rsid w:val="000F448E"/>
    <w:rsid w:val="001164CD"/>
    <w:rsid w:val="00131169"/>
    <w:rsid w:val="00155717"/>
    <w:rsid w:val="00162B47"/>
    <w:rsid w:val="001837A3"/>
    <w:rsid w:val="002025F7"/>
    <w:rsid w:val="0026334E"/>
    <w:rsid w:val="00276137"/>
    <w:rsid w:val="002C7959"/>
    <w:rsid w:val="002E110F"/>
    <w:rsid w:val="003069B6"/>
    <w:rsid w:val="00384336"/>
    <w:rsid w:val="00384C6E"/>
    <w:rsid w:val="00397799"/>
    <w:rsid w:val="003C0AEB"/>
    <w:rsid w:val="00412ADE"/>
    <w:rsid w:val="004150A0"/>
    <w:rsid w:val="00447EF3"/>
    <w:rsid w:val="004C5E1A"/>
    <w:rsid w:val="004F7688"/>
    <w:rsid w:val="00506996"/>
    <w:rsid w:val="005106AC"/>
    <w:rsid w:val="00513D3C"/>
    <w:rsid w:val="005519D8"/>
    <w:rsid w:val="005A123F"/>
    <w:rsid w:val="005C16CD"/>
    <w:rsid w:val="00607AEE"/>
    <w:rsid w:val="006467D8"/>
    <w:rsid w:val="0066023B"/>
    <w:rsid w:val="00677A7E"/>
    <w:rsid w:val="006A531B"/>
    <w:rsid w:val="006F7693"/>
    <w:rsid w:val="00710140"/>
    <w:rsid w:val="007531BC"/>
    <w:rsid w:val="00782E40"/>
    <w:rsid w:val="007D208C"/>
    <w:rsid w:val="007F2275"/>
    <w:rsid w:val="007F4C8F"/>
    <w:rsid w:val="008056C9"/>
    <w:rsid w:val="00805EC9"/>
    <w:rsid w:val="0084105F"/>
    <w:rsid w:val="00857984"/>
    <w:rsid w:val="008863C9"/>
    <w:rsid w:val="008C3C77"/>
    <w:rsid w:val="008C6EA9"/>
    <w:rsid w:val="008F2027"/>
    <w:rsid w:val="008F3783"/>
    <w:rsid w:val="00915F0F"/>
    <w:rsid w:val="0092600A"/>
    <w:rsid w:val="009532DF"/>
    <w:rsid w:val="009537B1"/>
    <w:rsid w:val="0096463F"/>
    <w:rsid w:val="00997019"/>
    <w:rsid w:val="009A5029"/>
    <w:rsid w:val="009C71BF"/>
    <w:rsid w:val="009C7F6E"/>
    <w:rsid w:val="009D38D5"/>
    <w:rsid w:val="009E26B4"/>
    <w:rsid w:val="00A53F26"/>
    <w:rsid w:val="00A56292"/>
    <w:rsid w:val="00A679CE"/>
    <w:rsid w:val="00A805AE"/>
    <w:rsid w:val="00AA0CC5"/>
    <w:rsid w:val="00AD4623"/>
    <w:rsid w:val="00B04F7F"/>
    <w:rsid w:val="00B16AFE"/>
    <w:rsid w:val="00B65DD5"/>
    <w:rsid w:val="00BA36B1"/>
    <w:rsid w:val="00BC6D1D"/>
    <w:rsid w:val="00BD10B6"/>
    <w:rsid w:val="00C07076"/>
    <w:rsid w:val="00C14BE4"/>
    <w:rsid w:val="00C15AD6"/>
    <w:rsid w:val="00CB00DF"/>
    <w:rsid w:val="00CE3406"/>
    <w:rsid w:val="00D21E47"/>
    <w:rsid w:val="00D32538"/>
    <w:rsid w:val="00D42290"/>
    <w:rsid w:val="00D502D9"/>
    <w:rsid w:val="00D658B2"/>
    <w:rsid w:val="00D73C72"/>
    <w:rsid w:val="00D80AE7"/>
    <w:rsid w:val="00D8676A"/>
    <w:rsid w:val="00DB5260"/>
    <w:rsid w:val="00E0592B"/>
    <w:rsid w:val="00E2626B"/>
    <w:rsid w:val="00E31738"/>
    <w:rsid w:val="00E762B8"/>
    <w:rsid w:val="00E86786"/>
    <w:rsid w:val="00EC010B"/>
    <w:rsid w:val="00EC394F"/>
    <w:rsid w:val="00ED2F80"/>
    <w:rsid w:val="00EF04A5"/>
    <w:rsid w:val="00F1618B"/>
    <w:rsid w:val="00F1624E"/>
    <w:rsid w:val="00F168F7"/>
    <w:rsid w:val="00F31EE8"/>
    <w:rsid w:val="00F32F8A"/>
    <w:rsid w:val="00F810AA"/>
    <w:rsid w:val="00FB43EC"/>
    <w:rsid w:val="00FB6B40"/>
    <w:rsid w:val="00FE7707"/>
    <w:rsid w:val="1FF8565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5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5"/>
    <w:link w:val="2"/>
    <w:semiHidden/>
    <w:uiPriority w:val="99"/>
    <w:rPr>
      <w:rFonts w:ascii="Calibri" w:hAnsi="Calibri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214</Words>
  <Characters>1225</Characters>
  <Lines>10</Lines>
  <Paragraphs>2</Paragraphs>
  <TotalTime>0</TotalTime>
  <ScaleCrop>false</ScaleCrop>
  <LinksUpToDate>false</LinksUpToDate>
  <CharactersWithSpaces>1437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2020-09-08T04:07:00Z</dcterms:created>
  <dc:creator>Lin, Xixiang</dc:creator>
  <cp:lastModifiedBy>陈媚</cp:lastModifiedBy>
  <cp:lastPrinted>2020-09-08T07:25:00Z</cp:lastPrinted>
  <dcterms:modified xsi:type="dcterms:W3CDTF">2020-09-09T05:40:22Z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