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E99384" w14:textId="77777777" w:rsidR="006965C3" w:rsidRPr="006965C3" w:rsidRDefault="006965C3" w:rsidP="006965C3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6965C3">
        <w:rPr>
          <w:rFonts w:ascii="黑体" w:eastAsia="黑体" w:hAnsi="Times New Roman" w:cs="Times New Roman" w:hint="eastAsia"/>
          <w:sz w:val="30"/>
          <w:szCs w:val="30"/>
        </w:rPr>
        <w:t>经营者集中简易案件公示表</w:t>
      </w:r>
    </w:p>
    <w:tbl>
      <w:tblPr>
        <w:tblpPr w:leftFromText="180" w:rightFromText="180" w:vertAnchor="page" w:horzAnchor="margin" w:tblpY="2305"/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0"/>
        <w:gridCol w:w="1992"/>
        <w:gridCol w:w="5126"/>
      </w:tblGrid>
      <w:tr w:rsidR="006965C3" w:rsidRPr="0033002E" w14:paraId="101AE69D" w14:textId="77777777" w:rsidTr="006965C3">
        <w:tc>
          <w:tcPr>
            <w:tcW w:w="1640" w:type="dxa"/>
            <w:shd w:val="clear" w:color="auto" w:fill="D9D9D9"/>
            <w:vAlign w:val="center"/>
          </w:tcPr>
          <w:p w14:paraId="2F9F0709" w14:textId="77777777" w:rsidR="006965C3" w:rsidRPr="0033002E" w:rsidRDefault="006965C3" w:rsidP="006965C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118" w:type="dxa"/>
            <w:gridSpan w:val="2"/>
          </w:tcPr>
          <w:p w14:paraId="02DDBFFC" w14:textId="77777777" w:rsidR="006965C3" w:rsidRPr="0033002E" w:rsidRDefault="006965C3" w:rsidP="006965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9799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樟树市和泰安成投资管理中心（有限合伙）</w:t>
            </w: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收购焦作万方铝业股份有限公司股权案</w:t>
            </w:r>
          </w:p>
        </w:tc>
      </w:tr>
      <w:tr w:rsidR="006965C3" w:rsidRPr="0033002E" w14:paraId="2C0B2AF6" w14:textId="77777777" w:rsidTr="006965C3">
        <w:trPr>
          <w:trHeight w:val="993"/>
        </w:trPr>
        <w:tc>
          <w:tcPr>
            <w:tcW w:w="1640" w:type="dxa"/>
            <w:shd w:val="clear" w:color="auto" w:fill="D9D9D9"/>
            <w:vAlign w:val="center"/>
          </w:tcPr>
          <w:p w14:paraId="730DD420" w14:textId="77777777" w:rsidR="006965C3" w:rsidRPr="0033002E" w:rsidRDefault="006965C3" w:rsidP="006965C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748FBE37" w14:textId="77777777" w:rsidR="006965C3" w:rsidRPr="0033002E" w:rsidRDefault="006965C3" w:rsidP="006965C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118" w:type="dxa"/>
            <w:gridSpan w:val="2"/>
          </w:tcPr>
          <w:p w14:paraId="49814814" w14:textId="77777777" w:rsidR="006965C3" w:rsidRDefault="006965C3" w:rsidP="006965C3">
            <w:pPr>
              <w:spacing w:line="500" w:lineRule="exact"/>
              <w:ind w:firstLineChars="200" w:firstLine="48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2020年6月2日，霍斌实际控制的樟树市和泰安成投资管理中心（有限合伙）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（“和泰安成”）</w:t>
            </w: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与焦作万方铝业股份有限公司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（“焦作万方”）</w:t>
            </w: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签订</w:t>
            </w:r>
            <w:bookmarkStart w:id="0" w:name="_Hlk49334676"/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《附条件生效的非公开发行股票认购协议》</w:t>
            </w:r>
            <w:bookmarkEnd w:id="0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和泰安成认购焦作万方非公开发行股票数量不超过216,000,000股。</w:t>
            </w:r>
          </w:p>
          <w:p w14:paraId="7FB70A18" w14:textId="538EAA7F" w:rsidR="006965C3" w:rsidRPr="0033002E" w:rsidRDefault="006965C3" w:rsidP="006965C3">
            <w:pPr>
              <w:spacing w:line="500" w:lineRule="exact"/>
              <w:ind w:firstLineChars="200" w:firstLine="48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B1D4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</w:t>
            </w:r>
            <w:r w:rsidR="00481A7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完成</w:t>
            </w:r>
            <w:r w:rsidRPr="002B1D4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后，和泰安成将持有焦作万方</w:t>
            </w:r>
            <w:r w:rsidRPr="002B1D4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29.99%股权，持股数量大幅领先其他股东，焦作万方将变更为有控股股东及实际控制人的企业，和泰安成将成为控股股东，和泰安成实际控制人霍斌将成为焦作万方实际控制人。</w:t>
            </w:r>
          </w:p>
        </w:tc>
      </w:tr>
      <w:tr w:rsidR="006965C3" w:rsidRPr="0033002E" w14:paraId="7A95C41C" w14:textId="77777777" w:rsidTr="006965C3">
        <w:trPr>
          <w:trHeight w:val="468"/>
        </w:trPr>
        <w:tc>
          <w:tcPr>
            <w:tcW w:w="1640" w:type="dxa"/>
            <w:vMerge w:val="restart"/>
            <w:shd w:val="clear" w:color="auto" w:fill="D9D9D9"/>
            <w:vAlign w:val="center"/>
          </w:tcPr>
          <w:p w14:paraId="437BFD1A" w14:textId="77777777" w:rsidR="006965C3" w:rsidRPr="0033002E" w:rsidRDefault="006965C3" w:rsidP="006965C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06A9B134" w14:textId="77777777" w:rsidR="006965C3" w:rsidRPr="0033002E" w:rsidRDefault="006965C3" w:rsidP="006965C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992" w:type="dxa"/>
          </w:tcPr>
          <w:p w14:paraId="36FFDACD" w14:textId="77777777" w:rsidR="006965C3" w:rsidRPr="0033002E" w:rsidRDefault="006965C3" w:rsidP="006965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Pr="0057325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樟树市和泰安成投资管理中心（有限合伙）</w:t>
            </w:r>
          </w:p>
        </w:tc>
        <w:tc>
          <w:tcPr>
            <w:tcW w:w="5126" w:type="dxa"/>
          </w:tcPr>
          <w:p w14:paraId="1079CC2F" w14:textId="77777777" w:rsidR="006965C3" w:rsidRPr="0033002E" w:rsidRDefault="006965C3" w:rsidP="006965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7325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樟树市和泰安成投资管理中心（有限合伙）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的实际控制人</w:t>
            </w: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霍斌先生实际控制的电解铝企业包括以下四家：</w:t>
            </w:r>
          </w:p>
          <w:p w14:paraId="2B9AD528" w14:textId="77777777" w:rsidR="006965C3" w:rsidRPr="0033002E" w:rsidRDefault="006965C3" w:rsidP="006965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（1）伊川豫港龙泉铝业有限公司：以生产电解铝为主导产业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目前电解铝年产能为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万吨。</w:t>
            </w:r>
          </w:p>
          <w:p w14:paraId="6DF02E34" w14:textId="77777777" w:rsidR="006965C3" w:rsidRPr="0033002E" w:rsidRDefault="006965C3" w:rsidP="006965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（2）河南豫港龙泉铝业有限公司：以生产电解铝为主导产业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目前电解铝年产能为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万吨。</w:t>
            </w: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  <w:p w14:paraId="32297674" w14:textId="77777777" w:rsidR="006965C3" w:rsidRPr="0033002E" w:rsidRDefault="006965C3" w:rsidP="006965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（3）洛阳豫港龙泉铝业有限公司：以生产电解铝为主导产业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目前电解铝年产能为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万吨。</w:t>
            </w:r>
          </w:p>
          <w:p w14:paraId="7BB219D4" w14:textId="77777777" w:rsidR="006965C3" w:rsidRPr="0033002E" w:rsidRDefault="006965C3" w:rsidP="006965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（4）营口忠旺铝材料有限公司：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以电解铝为主导产业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目前电解铝年产能为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95</w:t>
            </w: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万吨。</w:t>
            </w:r>
          </w:p>
        </w:tc>
      </w:tr>
      <w:tr w:rsidR="006965C3" w:rsidRPr="0033002E" w14:paraId="6D663A73" w14:textId="77777777" w:rsidTr="006965C3">
        <w:trPr>
          <w:trHeight w:val="404"/>
        </w:trPr>
        <w:tc>
          <w:tcPr>
            <w:tcW w:w="1640" w:type="dxa"/>
            <w:vMerge/>
            <w:shd w:val="clear" w:color="auto" w:fill="D9D9D9"/>
            <w:vAlign w:val="center"/>
          </w:tcPr>
          <w:p w14:paraId="5E916E2A" w14:textId="77777777" w:rsidR="006965C3" w:rsidRPr="0033002E" w:rsidRDefault="006965C3" w:rsidP="006965C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92" w:type="dxa"/>
          </w:tcPr>
          <w:p w14:paraId="0C3C352D" w14:textId="77777777" w:rsidR="006965C3" w:rsidRPr="0033002E" w:rsidRDefault="006965C3" w:rsidP="006965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2、焦作万方铝业</w:t>
            </w: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股份有限公司</w:t>
            </w:r>
          </w:p>
        </w:tc>
        <w:tc>
          <w:tcPr>
            <w:tcW w:w="5126" w:type="dxa"/>
          </w:tcPr>
          <w:p w14:paraId="7CD0B2BF" w14:textId="77777777" w:rsidR="006965C3" w:rsidRPr="0033002E" w:rsidRDefault="006965C3" w:rsidP="006965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焦作万方铝业股份有限公司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以电解铝为主导产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目前电解铝年产能为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万吨。</w:t>
            </w:r>
          </w:p>
        </w:tc>
      </w:tr>
      <w:tr w:rsidR="006965C3" w:rsidRPr="0033002E" w14:paraId="7231A459" w14:textId="77777777" w:rsidTr="006965C3">
        <w:trPr>
          <w:trHeight w:val="279"/>
        </w:trPr>
        <w:tc>
          <w:tcPr>
            <w:tcW w:w="1640" w:type="dxa"/>
            <w:vMerge w:val="restart"/>
            <w:shd w:val="clear" w:color="auto" w:fill="D9D9D9"/>
            <w:vAlign w:val="center"/>
          </w:tcPr>
          <w:p w14:paraId="05DD51BB" w14:textId="77777777" w:rsidR="006965C3" w:rsidRPr="0033002E" w:rsidRDefault="006965C3" w:rsidP="006965C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简易案件理由（可以单选，也可以多选）</w:t>
            </w:r>
          </w:p>
        </w:tc>
        <w:tc>
          <w:tcPr>
            <w:tcW w:w="7118" w:type="dxa"/>
            <w:gridSpan w:val="2"/>
          </w:tcPr>
          <w:p w14:paraId="16952178" w14:textId="77777777" w:rsidR="006965C3" w:rsidRPr="0033002E" w:rsidRDefault="006965C3" w:rsidP="006965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黑体" w:eastAsia="黑体" w:hAnsi="等线" w:cs="Times New Roman"/>
                <w:b/>
                <w:bCs/>
                <w:szCs w:val="21"/>
              </w:rPr>
              <w:sym w:font="Wingdings 2" w:char="F052"/>
            </w: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6965C3" w:rsidRPr="0033002E" w14:paraId="36B84303" w14:textId="77777777" w:rsidTr="006965C3">
        <w:trPr>
          <w:trHeight w:val="330"/>
        </w:trPr>
        <w:tc>
          <w:tcPr>
            <w:tcW w:w="1640" w:type="dxa"/>
            <w:vMerge/>
            <w:shd w:val="clear" w:color="auto" w:fill="D9D9D9"/>
            <w:vAlign w:val="center"/>
          </w:tcPr>
          <w:p w14:paraId="757AED87" w14:textId="77777777" w:rsidR="006965C3" w:rsidRPr="0033002E" w:rsidRDefault="006965C3" w:rsidP="006965C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8" w:type="dxa"/>
            <w:gridSpan w:val="2"/>
          </w:tcPr>
          <w:p w14:paraId="07F75659" w14:textId="77777777" w:rsidR="006965C3" w:rsidRPr="0033002E" w:rsidRDefault="006965C3" w:rsidP="006965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 w:rsidR="006965C3" w:rsidRPr="0033002E" w14:paraId="70694DAA" w14:textId="77777777" w:rsidTr="006965C3">
        <w:trPr>
          <w:trHeight w:val="285"/>
        </w:trPr>
        <w:tc>
          <w:tcPr>
            <w:tcW w:w="1640" w:type="dxa"/>
            <w:vMerge/>
            <w:shd w:val="clear" w:color="auto" w:fill="D9D9D9"/>
            <w:vAlign w:val="center"/>
          </w:tcPr>
          <w:p w14:paraId="55EFAA26" w14:textId="77777777" w:rsidR="006965C3" w:rsidRPr="0033002E" w:rsidRDefault="006965C3" w:rsidP="006965C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8" w:type="dxa"/>
            <w:gridSpan w:val="2"/>
          </w:tcPr>
          <w:p w14:paraId="665F4866" w14:textId="77777777" w:rsidR="006965C3" w:rsidRPr="0033002E" w:rsidRDefault="006965C3" w:rsidP="006965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6965C3" w:rsidRPr="0033002E" w14:paraId="3B881172" w14:textId="77777777" w:rsidTr="006965C3">
        <w:trPr>
          <w:trHeight w:val="870"/>
        </w:trPr>
        <w:tc>
          <w:tcPr>
            <w:tcW w:w="1640" w:type="dxa"/>
            <w:vMerge/>
            <w:shd w:val="clear" w:color="auto" w:fill="D9D9D9"/>
            <w:vAlign w:val="center"/>
          </w:tcPr>
          <w:p w14:paraId="12D56015" w14:textId="77777777" w:rsidR="006965C3" w:rsidRPr="0033002E" w:rsidRDefault="006965C3" w:rsidP="006965C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8" w:type="dxa"/>
            <w:gridSpan w:val="2"/>
          </w:tcPr>
          <w:p w14:paraId="1ED3B9B5" w14:textId="77777777" w:rsidR="006965C3" w:rsidRPr="0033002E" w:rsidRDefault="006965C3" w:rsidP="006965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6965C3" w:rsidRPr="0033002E" w14:paraId="688F05B1" w14:textId="77777777" w:rsidTr="006965C3">
        <w:trPr>
          <w:trHeight w:val="264"/>
        </w:trPr>
        <w:tc>
          <w:tcPr>
            <w:tcW w:w="1640" w:type="dxa"/>
            <w:vMerge/>
            <w:shd w:val="clear" w:color="auto" w:fill="D9D9D9"/>
            <w:vAlign w:val="center"/>
          </w:tcPr>
          <w:p w14:paraId="6E122132" w14:textId="77777777" w:rsidR="006965C3" w:rsidRPr="0033002E" w:rsidRDefault="006965C3" w:rsidP="006965C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8" w:type="dxa"/>
            <w:gridSpan w:val="2"/>
          </w:tcPr>
          <w:p w14:paraId="489072C0" w14:textId="77777777" w:rsidR="006965C3" w:rsidRPr="0033002E" w:rsidRDefault="006965C3" w:rsidP="006965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6965C3" w:rsidRPr="0033002E" w14:paraId="706B1901" w14:textId="77777777" w:rsidTr="006965C3">
        <w:trPr>
          <w:trHeight w:val="345"/>
        </w:trPr>
        <w:tc>
          <w:tcPr>
            <w:tcW w:w="1640" w:type="dxa"/>
            <w:vMerge/>
            <w:shd w:val="clear" w:color="auto" w:fill="D9D9D9"/>
            <w:vAlign w:val="center"/>
          </w:tcPr>
          <w:p w14:paraId="51DA3E40" w14:textId="77777777" w:rsidR="006965C3" w:rsidRPr="0033002E" w:rsidRDefault="006965C3" w:rsidP="006965C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8" w:type="dxa"/>
            <w:gridSpan w:val="2"/>
          </w:tcPr>
          <w:p w14:paraId="3C930D1E" w14:textId="77777777" w:rsidR="006965C3" w:rsidRPr="0033002E" w:rsidRDefault="006965C3" w:rsidP="006965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6965C3" w:rsidRPr="0033002E" w14:paraId="1849880A" w14:textId="77777777" w:rsidTr="006965C3">
        <w:tc>
          <w:tcPr>
            <w:tcW w:w="1640" w:type="dxa"/>
            <w:shd w:val="clear" w:color="auto" w:fill="D9D9D9"/>
            <w:vAlign w:val="center"/>
          </w:tcPr>
          <w:p w14:paraId="57AB24C9" w14:textId="77777777" w:rsidR="006965C3" w:rsidRPr="0033002E" w:rsidRDefault="006965C3" w:rsidP="006965C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300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7118" w:type="dxa"/>
            <w:gridSpan w:val="2"/>
          </w:tcPr>
          <w:p w14:paraId="5BAF22BC" w14:textId="77777777" w:rsidR="006965C3" w:rsidRPr="00B319F5" w:rsidRDefault="006965C3" w:rsidP="006965C3">
            <w:pPr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319F5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</w:t>
            </w:r>
            <w:r w:rsidRPr="00B319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14:paraId="68D47FD4" w14:textId="77777777" w:rsidR="006965C3" w:rsidRPr="00B319F5" w:rsidRDefault="006965C3" w:rsidP="006965C3">
            <w:pPr>
              <w:numPr>
                <w:ilvl w:val="0"/>
                <w:numId w:val="2"/>
              </w:numPr>
              <w:adjustRightInd w:val="0"/>
              <w:snapToGrid w:val="0"/>
              <w:spacing w:line="276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319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中国电解铝市场</w:t>
            </w:r>
          </w:p>
          <w:p w14:paraId="3B38D9AF" w14:textId="77777777" w:rsidR="006965C3" w:rsidRPr="00B319F5" w:rsidRDefault="006965C3" w:rsidP="006965C3">
            <w:pPr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319F5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</w:t>
            </w:r>
            <w:r w:rsidRPr="00B319F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tbl>
            <w:tblPr>
              <w:tblStyle w:val="a3"/>
              <w:tblW w:w="6322" w:type="dxa"/>
              <w:tblLook w:val="04A0" w:firstRow="1" w:lastRow="0" w:firstColumn="1" w:lastColumn="0" w:noHBand="0" w:noVBand="1"/>
            </w:tblPr>
            <w:tblGrid>
              <w:gridCol w:w="3347"/>
              <w:gridCol w:w="2975"/>
            </w:tblGrid>
            <w:tr w:rsidR="006965C3" w:rsidRPr="003E1CDB" w14:paraId="7A08BD5B" w14:textId="77777777" w:rsidTr="005C1C85">
              <w:trPr>
                <w:trHeight w:val="327"/>
              </w:trPr>
              <w:tc>
                <w:tcPr>
                  <w:tcW w:w="2647" w:type="pct"/>
                  <w:vAlign w:val="center"/>
                </w:tcPr>
                <w:p w14:paraId="0F03D71C" w14:textId="77777777" w:rsidR="006965C3" w:rsidRPr="001B4D7A" w:rsidRDefault="006965C3" w:rsidP="00481A7E">
                  <w:pPr>
                    <w:framePr w:hSpace="180" w:wrap="around" w:vAnchor="page" w:hAnchor="margin" w:y="2305"/>
                    <w:spacing w:line="276" w:lineRule="auto"/>
                    <w:jc w:val="center"/>
                    <w:rPr>
                      <w:rFonts w:ascii="仿宋" w:eastAsia="仿宋" w:hAnsi="仿宋"/>
                      <w:b/>
                      <w:sz w:val="24"/>
                      <w:szCs w:val="24"/>
                    </w:rPr>
                  </w:pPr>
                  <w:r>
                    <w:rPr>
                      <w:rFonts w:ascii="仿宋" w:eastAsia="仿宋" w:hAnsi="仿宋" w:hint="eastAsia"/>
                      <w:b/>
                      <w:sz w:val="24"/>
                      <w:szCs w:val="24"/>
                    </w:rPr>
                    <w:t>经营者</w:t>
                  </w:r>
                </w:p>
              </w:tc>
              <w:tc>
                <w:tcPr>
                  <w:tcW w:w="2353" w:type="pct"/>
                  <w:vAlign w:val="center"/>
                </w:tcPr>
                <w:p w14:paraId="215FFA0E" w14:textId="77777777" w:rsidR="006965C3" w:rsidRPr="001B4D7A" w:rsidRDefault="006965C3" w:rsidP="00481A7E">
                  <w:pPr>
                    <w:framePr w:hSpace="180" w:wrap="around" w:vAnchor="page" w:hAnchor="margin" w:y="2305"/>
                    <w:adjustRightInd w:val="0"/>
                    <w:snapToGrid w:val="0"/>
                    <w:spacing w:line="276" w:lineRule="auto"/>
                    <w:jc w:val="center"/>
                    <w:rPr>
                      <w:rFonts w:ascii="仿宋" w:eastAsia="仿宋" w:hAnsi="仿宋"/>
                      <w:b/>
                      <w:sz w:val="24"/>
                      <w:szCs w:val="24"/>
                    </w:rPr>
                  </w:pPr>
                  <w:r w:rsidRPr="001B4D7A">
                    <w:rPr>
                      <w:rFonts w:ascii="仿宋" w:eastAsia="仿宋" w:hAnsi="仿宋" w:hint="eastAsia"/>
                      <w:b/>
                      <w:sz w:val="24"/>
                      <w:szCs w:val="24"/>
                    </w:rPr>
                    <w:t>中国电解铝市场份额</w:t>
                  </w:r>
                  <w:r>
                    <w:rPr>
                      <w:rFonts w:ascii="仿宋" w:eastAsia="仿宋" w:hAnsi="仿宋"/>
                      <w:b/>
                      <w:sz w:val="24"/>
                      <w:szCs w:val="24"/>
                    </w:rPr>
                    <w:br/>
                  </w:r>
                  <w:r w:rsidRPr="001B4D7A">
                    <w:rPr>
                      <w:rFonts w:ascii="仿宋" w:eastAsia="仿宋" w:hAnsi="仿宋" w:hint="eastAsia"/>
                      <w:b/>
                      <w:sz w:val="24"/>
                      <w:szCs w:val="24"/>
                    </w:rPr>
                    <w:t>（产能占比）</w:t>
                  </w:r>
                </w:p>
              </w:tc>
            </w:tr>
            <w:tr w:rsidR="006965C3" w:rsidRPr="003E1CDB" w14:paraId="3070779F" w14:textId="77777777" w:rsidTr="005C1C85">
              <w:trPr>
                <w:trHeight w:val="293"/>
              </w:trPr>
              <w:tc>
                <w:tcPr>
                  <w:tcW w:w="2647" w:type="pct"/>
                  <w:vAlign w:val="center"/>
                </w:tcPr>
                <w:p w14:paraId="3C5536D5" w14:textId="1134F21F" w:rsidR="006965C3" w:rsidRPr="001B4D7A" w:rsidRDefault="006965C3" w:rsidP="00481A7E">
                  <w:pPr>
                    <w:framePr w:hSpace="180" w:wrap="around" w:vAnchor="page" w:hAnchor="margin" w:y="2305"/>
                    <w:spacing w:line="276" w:lineRule="auto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313CB4">
                    <w:rPr>
                      <w:rFonts w:ascii="仿宋" w:eastAsia="仿宋" w:hAnsi="仿宋" w:hint="eastAsia"/>
                      <w:b/>
                      <w:bCs/>
                      <w:sz w:val="24"/>
                      <w:szCs w:val="24"/>
                    </w:rPr>
                    <w:t>樟树市和泰安成投资管理中心（有限合伙）</w:t>
                  </w:r>
                </w:p>
              </w:tc>
              <w:tc>
                <w:tcPr>
                  <w:tcW w:w="2353" w:type="pct"/>
                  <w:vAlign w:val="center"/>
                </w:tcPr>
                <w:p w14:paraId="2C255D13" w14:textId="393F80D3" w:rsidR="006965C3" w:rsidRPr="001B4D7A" w:rsidRDefault="006965C3" w:rsidP="00481A7E">
                  <w:pPr>
                    <w:framePr w:hSpace="180" w:wrap="around" w:vAnchor="page" w:hAnchor="margin" w:y="2305"/>
                    <w:spacing w:line="276" w:lineRule="auto"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1B4D7A">
                    <w:rPr>
                      <w:rFonts w:ascii="仿宋" w:eastAsia="仿宋" w:hAnsi="仿宋"/>
                      <w:sz w:val="24"/>
                      <w:szCs w:val="24"/>
                    </w:rPr>
                    <w:t>3.22%-3.43%</w:t>
                  </w:r>
                </w:p>
              </w:tc>
            </w:tr>
            <w:tr w:rsidR="006965C3" w:rsidRPr="003E1CDB" w14:paraId="5940DB28" w14:textId="77777777" w:rsidTr="005C1C85">
              <w:trPr>
                <w:trHeight w:val="685"/>
              </w:trPr>
              <w:tc>
                <w:tcPr>
                  <w:tcW w:w="2647" w:type="pct"/>
                  <w:vAlign w:val="center"/>
                </w:tcPr>
                <w:p w14:paraId="65A9E0CE" w14:textId="6807E04E" w:rsidR="006965C3" w:rsidRPr="001B4D7A" w:rsidRDefault="006965C3" w:rsidP="00481A7E">
                  <w:pPr>
                    <w:framePr w:hSpace="180" w:wrap="around" w:vAnchor="page" w:hAnchor="margin" w:y="2305"/>
                    <w:spacing w:line="276" w:lineRule="auto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313CB4">
                    <w:rPr>
                      <w:rFonts w:ascii="仿宋" w:eastAsia="仿宋" w:hAnsi="仿宋" w:hint="eastAsia"/>
                      <w:b/>
                      <w:bCs/>
                      <w:sz w:val="24"/>
                      <w:szCs w:val="24"/>
                    </w:rPr>
                    <w:t>焦作万方铝业股份有限公司</w:t>
                  </w:r>
                </w:p>
              </w:tc>
              <w:tc>
                <w:tcPr>
                  <w:tcW w:w="2353" w:type="pct"/>
                  <w:vAlign w:val="center"/>
                </w:tcPr>
                <w:p w14:paraId="41223B11" w14:textId="77777777" w:rsidR="006965C3" w:rsidRPr="001B4D7A" w:rsidRDefault="006965C3" w:rsidP="00481A7E">
                  <w:pPr>
                    <w:framePr w:hSpace="180" w:wrap="around" w:vAnchor="page" w:hAnchor="margin" w:y="2305"/>
                    <w:spacing w:line="276" w:lineRule="auto"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 w:rsidRPr="001B4D7A">
                    <w:rPr>
                      <w:rFonts w:ascii="仿宋" w:eastAsia="仿宋" w:hAnsi="仿宋"/>
                      <w:sz w:val="24"/>
                      <w:szCs w:val="24"/>
                    </w:rPr>
                    <w:t>0.87%-0.94%</w:t>
                  </w:r>
                </w:p>
              </w:tc>
            </w:tr>
            <w:tr w:rsidR="006965C3" w:rsidRPr="003E1CDB" w14:paraId="0B9A354F" w14:textId="77777777" w:rsidTr="005C1C85">
              <w:trPr>
                <w:trHeight w:val="685"/>
              </w:trPr>
              <w:tc>
                <w:tcPr>
                  <w:tcW w:w="2647" w:type="pct"/>
                  <w:vAlign w:val="center"/>
                </w:tcPr>
                <w:p w14:paraId="28248186" w14:textId="77777777" w:rsidR="006965C3" w:rsidRPr="00A0348A" w:rsidRDefault="006965C3" w:rsidP="00481A7E">
                  <w:pPr>
                    <w:framePr w:hSpace="180" w:wrap="around" w:vAnchor="page" w:hAnchor="margin" w:y="2305"/>
                    <w:spacing w:line="276" w:lineRule="auto"/>
                    <w:jc w:val="center"/>
                    <w:rPr>
                      <w:rFonts w:ascii="仿宋" w:eastAsia="仿宋" w:hAnsi="仿宋"/>
                      <w:b/>
                      <w:bCs/>
                      <w:sz w:val="24"/>
                      <w:szCs w:val="24"/>
                    </w:rPr>
                  </w:pPr>
                  <w:r w:rsidRPr="00A0348A">
                    <w:rPr>
                      <w:rFonts w:ascii="仿宋" w:eastAsia="仿宋" w:hAnsi="仿宋" w:hint="eastAsia"/>
                      <w:b/>
                      <w:bCs/>
                      <w:sz w:val="24"/>
                      <w:szCs w:val="24"/>
                    </w:rPr>
                    <w:t>集中双方合计</w:t>
                  </w:r>
                </w:p>
              </w:tc>
              <w:tc>
                <w:tcPr>
                  <w:tcW w:w="2353" w:type="pct"/>
                  <w:vAlign w:val="center"/>
                </w:tcPr>
                <w:p w14:paraId="1B89AC0D" w14:textId="77777777" w:rsidR="006965C3" w:rsidRPr="001B4D7A" w:rsidRDefault="006965C3" w:rsidP="00481A7E">
                  <w:pPr>
                    <w:framePr w:hSpace="180" w:wrap="around" w:vAnchor="page" w:hAnchor="margin" w:y="2305"/>
                    <w:spacing w:line="276" w:lineRule="auto"/>
                    <w:jc w:val="center"/>
                    <w:rPr>
                      <w:rFonts w:ascii="仿宋" w:eastAsia="仿宋" w:hAnsi="仿宋"/>
                      <w:sz w:val="24"/>
                      <w:szCs w:val="24"/>
                    </w:rPr>
                  </w:pPr>
                  <w:r>
                    <w:rPr>
                      <w:rFonts w:ascii="仿宋" w:eastAsia="仿宋" w:hAnsi="仿宋" w:hint="eastAsia"/>
                      <w:sz w:val="24"/>
                      <w:szCs w:val="24"/>
                    </w:rPr>
                    <w:t>4</w:t>
                  </w:r>
                  <w:r>
                    <w:rPr>
                      <w:rFonts w:ascii="仿宋" w:eastAsia="仿宋" w:hAnsi="仿宋"/>
                      <w:sz w:val="24"/>
                      <w:szCs w:val="24"/>
                    </w:rPr>
                    <w:t>.09</w:t>
                  </w:r>
                  <w:r>
                    <w:rPr>
                      <w:rFonts w:ascii="仿宋" w:eastAsia="仿宋" w:hAnsi="仿宋" w:hint="eastAsia"/>
                      <w:sz w:val="24"/>
                      <w:szCs w:val="24"/>
                    </w:rPr>
                    <w:t>%-</w:t>
                  </w:r>
                  <w:r>
                    <w:rPr>
                      <w:rFonts w:ascii="仿宋" w:eastAsia="仿宋" w:hAnsi="仿宋"/>
                      <w:sz w:val="24"/>
                      <w:szCs w:val="24"/>
                    </w:rPr>
                    <w:t>4.37</w:t>
                  </w:r>
                  <w:r>
                    <w:rPr>
                      <w:rFonts w:ascii="仿宋" w:eastAsia="仿宋" w:hAnsi="仿宋" w:hint="eastAsia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35FBCF39" w14:textId="77777777" w:rsidR="006965C3" w:rsidRPr="0033002E" w:rsidRDefault="006965C3" w:rsidP="006965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596AEBBD" w14:textId="4BC83E80" w:rsidR="00A6014F" w:rsidRPr="006965C3" w:rsidRDefault="00A6014F"/>
    <w:p w14:paraId="5C127F94" w14:textId="77777777" w:rsidR="006965C3" w:rsidRDefault="006965C3"/>
    <w:sectPr w:rsidR="006965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0A207" w14:textId="77777777" w:rsidR="00807DC6" w:rsidRDefault="00807DC6" w:rsidP="00481A7E">
      <w:r>
        <w:separator/>
      </w:r>
    </w:p>
  </w:endnote>
  <w:endnote w:type="continuationSeparator" w:id="0">
    <w:p w14:paraId="077F2484" w14:textId="77777777" w:rsidR="00807DC6" w:rsidRDefault="00807DC6" w:rsidP="00481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FangSong"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charset w:val="02"/>
    <w:family w:val="decorative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C7D62B" w14:textId="77777777" w:rsidR="00807DC6" w:rsidRDefault="00807DC6" w:rsidP="00481A7E">
      <w:r>
        <w:separator/>
      </w:r>
    </w:p>
  </w:footnote>
  <w:footnote w:type="continuationSeparator" w:id="0">
    <w:p w14:paraId="108BDE90" w14:textId="77777777" w:rsidR="00807DC6" w:rsidRDefault="00807DC6" w:rsidP="00481A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CC76AC"/>
    <w:multiLevelType w:val="hybridMultilevel"/>
    <w:tmpl w:val="D8AE0566"/>
    <w:lvl w:ilvl="0" w:tplc="5B86BE22">
      <w:start w:val="1"/>
      <w:numFmt w:val="decimal"/>
      <w:lvlText w:val="%1、"/>
      <w:lvlJc w:val="left"/>
      <w:pPr>
        <w:ind w:left="720" w:hanging="720"/>
      </w:pPr>
      <w:rPr>
        <w:rFonts w:ascii="FangSong" w:eastAsia="FangSong" w:hAnsi="FangSong" w:cstheme="minorBidi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C7C29A1"/>
    <w:multiLevelType w:val="hybridMultilevel"/>
    <w:tmpl w:val="727A2B72"/>
    <w:lvl w:ilvl="0" w:tplc="04090011">
      <w:start w:val="1"/>
      <w:numFmt w:val="decimal"/>
      <w:lvlText w:val="%1)"/>
      <w:lvlJc w:val="left"/>
      <w:pPr>
        <w:ind w:left="720" w:hanging="7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C3"/>
    <w:rsid w:val="00481A7E"/>
    <w:rsid w:val="005C43D6"/>
    <w:rsid w:val="006965C3"/>
    <w:rsid w:val="00807DC6"/>
    <w:rsid w:val="00A6014F"/>
    <w:rsid w:val="00AD7B51"/>
    <w:rsid w:val="00D8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A9B831"/>
  <w15:chartTrackingRefBased/>
  <w15:docId w15:val="{3197E760-F2B2-4402-BA4F-74E35866B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65C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965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81A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1A7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1A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1A7E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481A7E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81A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 王</dc:creator>
  <cp:keywords/>
  <dc:description/>
  <cp:lastModifiedBy>田 王</cp:lastModifiedBy>
  <cp:revision>4</cp:revision>
  <dcterms:created xsi:type="dcterms:W3CDTF">2020-09-08T01:40:00Z</dcterms:created>
  <dcterms:modified xsi:type="dcterms:W3CDTF">2020-09-09T05:14:00Z</dcterms:modified>
</cp:coreProperties>
</file>