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440" w:lineRule="exact"/>
        <w:jc w:val="center"/>
        <w:rPr>
          <w:rFonts w:ascii="Times New Roman" w:hAnsi="Times New Roman" w:eastAsia="仿宋"/>
          <w:b/>
          <w:bCs/>
          <w:sz w:val="30"/>
          <w:szCs w:val="30"/>
        </w:rPr>
      </w:pPr>
      <w:bookmarkStart w:id="0" w:name="_GoBack"/>
      <w:bookmarkEnd w:id="0"/>
      <w:r>
        <w:rPr>
          <w:rFonts w:ascii="Times New Roman" w:hAnsi="Times New Roman" w:eastAsia="仿宋"/>
          <w:b/>
          <w:bCs/>
          <w:sz w:val="30"/>
          <w:szCs w:val="30"/>
        </w:rPr>
        <w:t>经营者集中简易案件公示表</w:t>
      </w:r>
    </w:p>
    <w:p>
      <w:pPr>
        <w:spacing w:line="440" w:lineRule="exact"/>
        <w:rPr>
          <w:rFonts w:ascii="Times New Roman" w:hAnsi="Times New Roman" w:eastAsia="仿宋"/>
          <w:sz w:val="28"/>
          <w:szCs w:val="28"/>
        </w:rPr>
      </w:pPr>
    </w:p>
    <w:tbl>
      <w:tblPr>
        <w:tblStyle w:val="6"/>
        <w:tblW w:w="875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9"/>
        <w:gridCol w:w="1985"/>
        <w:gridCol w:w="496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28" w:hRule="atLeast"/>
        </w:trPr>
        <w:tc>
          <w:tcPr>
            <w:tcW w:w="1809" w:type="dxa"/>
            <w:shd w:val="clear" w:color="auto" w:fill="D9D9D9"/>
            <w:vAlign w:val="center"/>
          </w:tcPr>
          <w:p>
            <w:pPr>
              <w:jc w:val="center"/>
              <w:rPr>
                <w:rFonts w:ascii="Times New Roman" w:hAnsi="Times New Roman" w:eastAsia="仿宋"/>
                <w:sz w:val="24"/>
                <w:szCs w:val="24"/>
              </w:rPr>
            </w:pPr>
            <w:r>
              <w:rPr>
                <w:rFonts w:ascii="Times New Roman" w:hAnsi="Times New Roman" w:eastAsia="仿宋"/>
                <w:sz w:val="24"/>
                <w:szCs w:val="24"/>
              </w:rPr>
              <w:t>案件名称</w:t>
            </w:r>
          </w:p>
        </w:tc>
        <w:tc>
          <w:tcPr>
            <w:tcW w:w="6949" w:type="dxa"/>
            <w:gridSpan w:val="2"/>
            <w:vAlign w:val="center"/>
          </w:tcPr>
          <w:p>
            <w:pPr>
              <w:rPr>
                <w:rFonts w:ascii="Times New Roman" w:hAnsi="Times New Roman" w:eastAsia="仿宋"/>
                <w:sz w:val="24"/>
                <w:szCs w:val="24"/>
              </w:rPr>
            </w:pPr>
            <w:r>
              <w:rPr>
                <w:rFonts w:ascii="Times New Roman" w:hAnsi="Times New Roman" w:eastAsia="仿宋"/>
                <w:sz w:val="24"/>
                <w:szCs w:val="24"/>
              </w:rPr>
              <w:t>MagiCapital Fund II L.P.收购奕力科技（开曼）股份有限公司股权案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93" w:hRule="atLeast"/>
        </w:trPr>
        <w:tc>
          <w:tcPr>
            <w:tcW w:w="1809" w:type="dxa"/>
            <w:shd w:val="clear" w:color="auto" w:fill="D9D9D9"/>
            <w:vAlign w:val="center"/>
          </w:tcPr>
          <w:p>
            <w:pPr>
              <w:spacing w:line="500" w:lineRule="exact"/>
              <w:jc w:val="center"/>
              <w:rPr>
                <w:rFonts w:ascii="Times New Roman" w:hAnsi="Times New Roman" w:eastAsia="仿宋"/>
                <w:color w:val="333333"/>
                <w:kern w:val="0"/>
                <w:sz w:val="24"/>
                <w:szCs w:val="24"/>
              </w:rPr>
            </w:pPr>
            <w:r>
              <w:rPr>
                <w:rFonts w:ascii="Times New Roman" w:hAnsi="Times New Roman" w:eastAsia="仿宋"/>
                <w:color w:val="333333"/>
                <w:kern w:val="0"/>
                <w:sz w:val="24"/>
                <w:szCs w:val="24"/>
              </w:rPr>
              <w:t>交易概况</w:t>
            </w:r>
          </w:p>
          <w:p>
            <w:pPr>
              <w:spacing w:line="500" w:lineRule="exact"/>
              <w:jc w:val="center"/>
              <w:rPr>
                <w:rFonts w:ascii="Times New Roman" w:hAnsi="Times New Roman" w:eastAsia="仿宋"/>
                <w:color w:val="333333"/>
                <w:kern w:val="0"/>
                <w:sz w:val="24"/>
                <w:szCs w:val="24"/>
              </w:rPr>
            </w:pPr>
            <w:r>
              <w:rPr>
                <w:rFonts w:ascii="Times New Roman" w:hAnsi="Times New Roman" w:eastAsia="仿宋"/>
                <w:color w:val="333333"/>
                <w:kern w:val="0"/>
                <w:sz w:val="24"/>
                <w:szCs w:val="24"/>
              </w:rPr>
              <w:t>（限200字内）</w:t>
            </w:r>
          </w:p>
        </w:tc>
        <w:tc>
          <w:tcPr>
            <w:tcW w:w="6949" w:type="dxa"/>
            <w:gridSpan w:val="2"/>
          </w:tcPr>
          <w:p>
            <w:pPr>
              <w:spacing w:line="500" w:lineRule="exact"/>
              <w:rPr>
                <w:rFonts w:ascii="Times New Roman" w:hAnsi="Times New Roman" w:eastAsia="仿宋"/>
                <w:color w:val="333333"/>
                <w:kern w:val="0"/>
                <w:sz w:val="24"/>
                <w:szCs w:val="24"/>
              </w:rPr>
            </w:pPr>
            <w:r>
              <w:rPr>
                <w:rFonts w:ascii="Times New Roman" w:hAnsi="Times New Roman" w:eastAsia="仿宋"/>
                <w:color w:val="333333"/>
                <w:kern w:val="0"/>
                <w:sz w:val="24"/>
                <w:szCs w:val="24"/>
              </w:rPr>
              <w:t>Midus Investments Limited（以下简称“Midus”）与讯发有限公司（以下简称“讯发”）签署《有关出售及购买奕力科技（开曼）股份有限公司股份之购买协议》（以下简称“股份收购协议”）。根据股份收购协议，MagiCapital Fund II L.P.（以下简称“MagiCapital”）拟间接通过其持有的Midus收购联发科技股份有限公司（以下简称“联发科技”）间接通过讯发持有的奕力科技（开曼）股份有限公司（以下简称“奕力科技开曼”）100%的股份。本次交易完成后，MagiCapital将间接通过Midus全资持有奕力科技开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68" w:hRule="atLeast"/>
        </w:trPr>
        <w:tc>
          <w:tcPr>
            <w:tcW w:w="1809" w:type="dxa"/>
            <w:vMerge w:val="restart"/>
            <w:shd w:val="clear" w:color="auto" w:fill="D9D9D9"/>
            <w:vAlign w:val="center"/>
          </w:tcPr>
          <w:p>
            <w:pPr>
              <w:spacing w:line="500" w:lineRule="exact"/>
              <w:jc w:val="center"/>
              <w:rPr>
                <w:rFonts w:ascii="Times New Roman" w:hAnsi="Times New Roman" w:eastAsia="仿宋"/>
                <w:color w:val="333333"/>
                <w:kern w:val="0"/>
                <w:sz w:val="24"/>
                <w:szCs w:val="24"/>
              </w:rPr>
            </w:pPr>
            <w:r>
              <w:rPr>
                <w:rFonts w:ascii="Times New Roman" w:hAnsi="Times New Roman" w:eastAsia="仿宋"/>
                <w:color w:val="333333"/>
                <w:kern w:val="0"/>
                <w:sz w:val="24"/>
                <w:szCs w:val="24"/>
              </w:rPr>
              <w:t>参与集中的</w:t>
            </w:r>
          </w:p>
          <w:p>
            <w:pPr>
              <w:spacing w:line="500" w:lineRule="exact"/>
              <w:jc w:val="center"/>
              <w:rPr>
                <w:rFonts w:ascii="Times New Roman" w:hAnsi="Times New Roman" w:eastAsia="仿宋"/>
                <w:color w:val="333333"/>
                <w:kern w:val="0"/>
                <w:sz w:val="24"/>
                <w:szCs w:val="24"/>
              </w:rPr>
            </w:pPr>
            <w:r>
              <w:rPr>
                <w:rFonts w:ascii="Times New Roman" w:hAnsi="Times New Roman" w:eastAsia="仿宋"/>
                <w:color w:val="333333"/>
                <w:kern w:val="0"/>
                <w:sz w:val="24"/>
                <w:szCs w:val="24"/>
              </w:rPr>
              <w:t>经营者简介</w:t>
            </w:r>
          </w:p>
        </w:tc>
        <w:tc>
          <w:tcPr>
            <w:tcW w:w="1985" w:type="dxa"/>
            <w:vAlign w:val="center"/>
          </w:tcPr>
          <w:p>
            <w:pPr>
              <w:spacing w:line="500" w:lineRule="exact"/>
              <w:rPr>
                <w:rFonts w:ascii="Times New Roman" w:hAnsi="Times New Roman" w:eastAsia="仿宋"/>
                <w:color w:val="333333"/>
                <w:kern w:val="0"/>
                <w:sz w:val="24"/>
                <w:szCs w:val="24"/>
              </w:rPr>
            </w:pPr>
            <w:r>
              <w:rPr>
                <w:rFonts w:ascii="Times New Roman" w:hAnsi="Times New Roman" w:eastAsia="仿宋"/>
                <w:color w:val="333333"/>
                <w:kern w:val="0"/>
                <w:sz w:val="24"/>
                <w:szCs w:val="24"/>
              </w:rPr>
              <w:t>1、MagiCapital</w:t>
            </w:r>
          </w:p>
        </w:tc>
        <w:tc>
          <w:tcPr>
            <w:tcW w:w="4964" w:type="dxa"/>
          </w:tcPr>
          <w:p>
            <w:pPr>
              <w:spacing w:line="500" w:lineRule="exact"/>
              <w:rPr>
                <w:rFonts w:ascii="Times New Roman" w:hAnsi="Times New Roman" w:eastAsia="仿宋"/>
                <w:color w:val="333333"/>
                <w:kern w:val="0"/>
                <w:sz w:val="24"/>
                <w:szCs w:val="24"/>
              </w:rPr>
            </w:pPr>
            <w:r>
              <w:rPr>
                <w:rFonts w:ascii="Times New Roman" w:hAnsi="Times New Roman" w:eastAsia="仿宋"/>
                <w:color w:val="333333"/>
                <w:kern w:val="0"/>
                <w:sz w:val="24"/>
                <w:szCs w:val="24"/>
              </w:rPr>
              <w:t>MagiCapital是一家主要从事股权投资业务的美元基金。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99" w:hRule="atLeast"/>
        </w:trPr>
        <w:tc>
          <w:tcPr>
            <w:tcW w:w="1809" w:type="dxa"/>
            <w:vMerge w:val="continue"/>
            <w:shd w:val="clear" w:color="auto" w:fill="D9D9D9"/>
            <w:vAlign w:val="center"/>
          </w:tcPr>
          <w:p>
            <w:pPr>
              <w:spacing w:line="500" w:lineRule="exact"/>
              <w:jc w:val="center"/>
              <w:rPr>
                <w:rFonts w:ascii="Times New Roman" w:hAnsi="Times New Roman" w:eastAsia="仿宋"/>
                <w:color w:val="333333"/>
                <w:kern w:val="0"/>
                <w:sz w:val="24"/>
                <w:szCs w:val="24"/>
              </w:rPr>
            </w:pPr>
          </w:p>
        </w:tc>
        <w:tc>
          <w:tcPr>
            <w:tcW w:w="1985" w:type="dxa"/>
            <w:vAlign w:val="center"/>
          </w:tcPr>
          <w:p>
            <w:pPr>
              <w:spacing w:line="500" w:lineRule="exact"/>
              <w:rPr>
                <w:rFonts w:ascii="Times New Roman" w:hAnsi="Times New Roman" w:eastAsia="仿宋"/>
                <w:color w:val="333333"/>
                <w:kern w:val="0"/>
                <w:sz w:val="24"/>
                <w:szCs w:val="24"/>
              </w:rPr>
            </w:pPr>
            <w:r>
              <w:rPr>
                <w:rFonts w:ascii="Times New Roman" w:hAnsi="Times New Roman" w:eastAsia="仿宋"/>
                <w:color w:val="333333"/>
                <w:kern w:val="0"/>
                <w:sz w:val="24"/>
                <w:szCs w:val="24"/>
              </w:rPr>
              <w:t>2、奕力科技开曼</w:t>
            </w:r>
          </w:p>
        </w:tc>
        <w:tc>
          <w:tcPr>
            <w:tcW w:w="4964" w:type="dxa"/>
          </w:tcPr>
          <w:p>
            <w:pPr>
              <w:spacing w:line="500" w:lineRule="exact"/>
              <w:rPr>
                <w:rFonts w:ascii="Times New Roman" w:hAnsi="Times New Roman" w:eastAsia="仿宋"/>
                <w:color w:val="333333"/>
                <w:kern w:val="0"/>
                <w:sz w:val="24"/>
                <w:szCs w:val="24"/>
              </w:rPr>
            </w:pPr>
            <w:r>
              <w:rPr>
                <w:rFonts w:ascii="Times New Roman" w:hAnsi="Times New Roman" w:eastAsia="仿宋"/>
                <w:color w:val="333333"/>
                <w:kern w:val="0"/>
                <w:sz w:val="24"/>
                <w:szCs w:val="24"/>
              </w:rPr>
              <w:t>奕力科技开曼及其关联企业主要在全球范围内从事针对面板驱动芯片产品的研究、开发、设计及销售业务。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79" w:hRule="atLeast"/>
        </w:trPr>
        <w:tc>
          <w:tcPr>
            <w:tcW w:w="1809" w:type="dxa"/>
            <w:vMerge w:val="restart"/>
            <w:shd w:val="clear" w:color="auto" w:fill="D9D9D9"/>
            <w:vAlign w:val="center"/>
          </w:tcPr>
          <w:p>
            <w:pPr>
              <w:spacing w:line="500" w:lineRule="exact"/>
              <w:jc w:val="center"/>
              <w:rPr>
                <w:rFonts w:ascii="Times New Roman" w:hAnsi="Times New Roman" w:eastAsia="仿宋"/>
                <w:color w:val="333333"/>
                <w:kern w:val="0"/>
                <w:sz w:val="24"/>
                <w:szCs w:val="24"/>
              </w:rPr>
            </w:pPr>
            <w:r>
              <w:rPr>
                <w:rFonts w:ascii="Times New Roman" w:hAnsi="Times New Roman" w:eastAsia="仿宋"/>
                <w:color w:val="333333"/>
                <w:kern w:val="0"/>
                <w:sz w:val="24"/>
                <w:szCs w:val="24"/>
              </w:rPr>
              <w:t>简易案件理由（可以单选，也可以多选）</w:t>
            </w:r>
          </w:p>
        </w:tc>
        <w:tc>
          <w:tcPr>
            <w:tcW w:w="6949" w:type="dxa"/>
            <w:gridSpan w:val="2"/>
          </w:tcPr>
          <w:p>
            <w:pPr>
              <w:spacing w:line="500" w:lineRule="exact"/>
              <w:rPr>
                <w:rFonts w:ascii="Times New Roman" w:hAnsi="Times New Roman" w:eastAsia="仿宋"/>
                <w:color w:val="333333"/>
                <w:kern w:val="0"/>
                <w:sz w:val="24"/>
                <w:szCs w:val="24"/>
              </w:rPr>
            </w:pPr>
            <w:r>
              <w:rPr>
                <w:rFonts w:ascii="Times New Roman" w:hAnsi="Times New Roman" w:eastAsia="仿宋"/>
                <w:color w:val="333333"/>
                <w:kern w:val="0"/>
                <w:sz w:val="24"/>
                <w:szCs w:val="24"/>
              </w:rPr>
              <w:t>□1.在同一相关市场，所有参与集中的经营者所占市场份额之和小于15%。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30" w:hRule="atLeast"/>
        </w:trPr>
        <w:tc>
          <w:tcPr>
            <w:tcW w:w="1809" w:type="dxa"/>
            <w:vMerge w:val="continue"/>
            <w:shd w:val="clear" w:color="auto" w:fill="D9D9D9"/>
            <w:vAlign w:val="center"/>
          </w:tcPr>
          <w:p>
            <w:pPr>
              <w:spacing w:line="500" w:lineRule="exact"/>
              <w:jc w:val="center"/>
              <w:rPr>
                <w:rFonts w:ascii="Times New Roman" w:hAnsi="Times New Roman" w:eastAsia="仿宋"/>
                <w:color w:val="333333"/>
                <w:kern w:val="0"/>
                <w:sz w:val="24"/>
                <w:szCs w:val="24"/>
              </w:rPr>
            </w:pPr>
          </w:p>
        </w:tc>
        <w:tc>
          <w:tcPr>
            <w:tcW w:w="6949" w:type="dxa"/>
            <w:gridSpan w:val="2"/>
          </w:tcPr>
          <w:p>
            <w:pPr>
              <w:spacing w:line="500" w:lineRule="exact"/>
              <w:rPr>
                <w:rFonts w:ascii="Times New Roman" w:hAnsi="Times New Roman" w:eastAsia="仿宋"/>
                <w:color w:val="333333"/>
                <w:kern w:val="0"/>
                <w:sz w:val="24"/>
                <w:szCs w:val="24"/>
              </w:rPr>
            </w:pPr>
            <w:r>
              <w:rPr>
                <w:rFonts w:ascii="Times New Roman" w:hAnsi="Times New Roman" w:eastAsia="仿宋"/>
                <w:color w:val="333333"/>
                <w:kern w:val="0"/>
                <w:sz w:val="24"/>
                <w:szCs w:val="24"/>
              </w:rPr>
              <w:t>□2.存在上下游关系的参与集中的经营者，在上下游市场所占的市场份额均小于25%。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85" w:hRule="atLeast"/>
        </w:trPr>
        <w:tc>
          <w:tcPr>
            <w:tcW w:w="1809" w:type="dxa"/>
            <w:vMerge w:val="continue"/>
            <w:shd w:val="clear" w:color="auto" w:fill="D9D9D9"/>
            <w:vAlign w:val="center"/>
          </w:tcPr>
          <w:p>
            <w:pPr>
              <w:spacing w:line="500" w:lineRule="exact"/>
              <w:jc w:val="center"/>
              <w:rPr>
                <w:rFonts w:ascii="Times New Roman" w:hAnsi="Times New Roman" w:eastAsia="仿宋"/>
                <w:color w:val="333333"/>
                <w:kern w:val="0"/>
                <w:sz w:val="24"/>
                <w:szCs w:val="24"/>
              </w:rPr>
            </w:pPr>
          </w:p>
        </w:tc>
        <w:tc>
          <w:tcPr>
            <w:tcW w:w="6949" w:type="dxa"/>
            <w:gridSpan w:val="2"/>
          </w:tcPr>
          <w:p>
            <w:pPr>
              <w:spacing w:line="500" w:lineRule="exact"/>
              <w:rPr>
                <w:rFonts w:ascii="Times New Roman" w:hAnsi="Times New Roman" w:eastAsia="仿宋"/>
                <w:color w:val="333333"/>
                <w:kern w:val="0"/>
                <w:sz w:val="24"/>
                <w:szCs w:val="24"/>
              </w:rPr>
            </w:pPr>
            <w:r>
              <w:rPr>
                <w:rFonts w:ascii="Times New Roman" w:hAnsi="Times New Roman"/>
                <w:sz w:val="24"/>
                <w:szCs w:val="24"/>
              </w:rPr>
              <w:sym w:font="Wingdings" w:char="F0FE"/>
            </w:r>
            <w:r>
              <w:rPr>
                <w:rFonts w:ascii="Times New Roman" w:hAnsi="Times New Roman" w:eastAsia="仿宋"/>
                <w:color w:val="333333"/>
                <w:kern w:val="0"/>
                <w:sz w:val="24"/>
                <w:szCs w:val="24"/>
              </w:rPr>
              <w:t>3.不在同一相关市场、也不存在上下游关系的参与集中的经营者，在与交易有关的每个市场所占的份额均小于25%。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870" w:hRule="atLeast"/>
        </w:trPr>
        <w:tc>
          <w:tcPr>
            <w:tcW w:w="1809" w:type="dxa"/>
            <w:vMerge w:val="continue"/>
            <w:shd w:val="clear" w:color="auto" w:fill="D9D9D9"/>
            <w:vAlign w:val="center"/>
          </w:tcPr>
          <w:p>
            <w:pPr>
              <w:spacing w:line="500" w:lineRule="exact"/>
              <w:jc w:val="center"/>
              <w:rPr>
                <w:rFonts w:ascii="Times New Roman" w:hAnsi="Times New Roman" w:eastAsia="仿宋"/>
                <w:color w:val="333333"/>
                <w:kern w:val="0"/>
                <w:sz w:val="24"/>
                <w:szCs w:val="24"/>
              </w:rPr>
            </w:pPr>
          </w:p>
        </w:tc>
        <w:tc>
          <w:tcPr>
            <w:tcW w:w="6949" w:type="dxa"/>
            <w:gridSpan w:val="2"/>
          </w:tcPr>
          <w:p>
            <w:pPr>
              <w:spacing w:line="500" w:lineRule="exact"/>
              <w:rPr>
                <w:rFonts w:ascii="Times New Roman" w:hAnsi="Times New Roman" w:eastAsia="仿宋"/>
                <w:color w:val="333333"/>
                <w:kern w:val="0"/>
                <w:sz w:val="24"/>
                <w:szCs w:val="24"/>
              </w:rPr>
            </w:pPr>
            <w:r>
              <w:rPr>
                <w:rFonts w:ascii="Times New Roman" w:hAnsi="Times New Roman" w:eastAsia="仿宋"/>
                <w:color w:val="333333"/>
                <w:kern w:val="0"/>
                <w:sz w:val="24"/>
                <w:szCs w:val="24"/>
              </w:rPr>
              <w:t>□4.参与集中的经营者在中国境外设立合营企业，合营企业不在中国境内从事经济活动。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64" w:hRule="atLeast"/>
        </w:trPr>
        <w:tc>
          <w:tcPr>
            <w:tcW w:w="1809" w:type="dxa"/>
            <w:vMerge w:val="continue"/>
            <w:shd w:val="clear" w:color="auto" w:fill="D9D9D9"/>
            <w:vAlign w:val="center"/>
          </w:tcPr>
          <w:p>
            <w:pPr>
              <w:spacing w:line="500" w:lineRule="exact"/>
              <w:jc w:val="center"/>
              <w:rPr>
                <w:rFonts w:ascii="Times New Roman" w:hAnsi="Times New Roman" w:eastAsia="仿宋"/>
                <w:color w:val="333333"/>
                <w:kern w:val="0"/>
                <w:sz w:val="24"/>
                <w:szCs w:val="24"/>
              </w:rPr>
            </w:pPr>
          </w:p>
        </w:tc>
        <w:tc>
          <w:tcPr>
            <w:tcW w:w="6949" w:type="dxa"/>
            <w:gridSpan w:val="2"/>
          </w:tcPr>
          <w:p>
            <w:pPr>
              <w:spacing w:line="500" w:lineRule="exact"/>
              <w:rPr>
                <w:rFonts w:ascii="Times New Roman" w:hAnsi="Times New Roman" w:eastAsia="仿宋"/>
                <w:color w:val="333333"/>
                <w:kern w:val="0"/>
                <w:sz w:val="24"/>
                <w:szCs w:val="24"/>
              </w:rPr>
            </w:pPr>
            <w:r>
              <w:rPr>
                <w:rFonts w:ascii="Times New Roman" w:hAnsi="Times New Roman" w:eastAsia="仿宋"/>
                <w:color w:val="333333"/>
                <w:kern w:val="0"/>
                <w:sz w:val="24"/>
                <w:szCs w:val="24"/>
              </w:rPr>
              <w:t>□5.参与集中的经营者收购境外企业股权或资产的，该境外企业不在中国境内从事经济活动。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45" w:hRule="atLeast"/>
        </w:trPr>
        <w:tc>
          <w:tcPr>
            <w:tcW w:w="1809" w:type="dxa"/>
            <w:vMerge w:val="continue"/>
            <w:shd w:val="clear" w:color="auto" w:fill="D9D9D9"/>
            <w:vAlign w:val="center"/>
          </w:tcPr>
          <w:p>
            <w:pPr>
              <w:spacing w:line="500" w:lineRule="exact"/>
              <w:jc w:val="center"/>
              <w:rPr>
                <w:rFonts w:ascii="Times New Roman" w:hAnsi="Times New Roman" w:eastAsia="仿宋"/>
                <w:color w:val="333333"/>
                <w:kern w:val="0"/>
                <w:sz w:val="24"/>
                <w:szCs w:val="24"/>
              </w:rPr>
            </w:pPr>
          </w:p>
        </w:tc>
        <w:tc>
          <w:tcPr>
            <w:tcW w:w="6949" w:type="dxa"/>
            <w:gridSpan w:val="2"/>
          </w:tcPr>
          <w:p>
            <w:pPr>
              <w:spacing w:line="500" w:lineRule="exact"/>
              <w:rPr>
                <w:rFonts w:ascii="Times New Roman" w:hAnsi="Times New Roman" w:eastAsia="仿宋"/>
                <w:color w:val="333333"/>
                <w:kern w:val="0"/>
                <w:sz w:val="24"/>
                <w:szCs w:val="24"/>
              </w:rPr>
            </w:pPr>
            <w:r>
              <w:rPr>
                <w:rFonts w:ascii="Times New Roman" w:hAnsi="Times New Roman" w:eastAsia="仿宋"/>
                <w:color w:val="333333"/>
                <w:kern w:val="0"/>
                <w:sz w:val="24"/>
                <w:szCs w:val="24"/>
              </w:rPr>
              <w:t>□6.由两个以上的经营者共同控制的合营企业，通过集中被其中一个或一个以上经营者控制。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809" w:type="dxa"/>
            <w:shd w:val="clear" w:color="auto" w:fill="D9D9D9"/>
            <w:vAlign w:val="center"/>
          </w:tcPr>
          <w:p>
            <w:pPr>
              <w:spacing w:line="500" w:lineRule="exact"/>
              <w:jc w:val="center"/>
              <w:rPr>
                <w:rFonts w:ascii="Times New Roman" w:hAnsi="Times New Roman" w:eastAsia="仿宋"/>
                <w:color w:val="333333"/>
                <w:kern w:val="0"/>
                <w:sz w:val="24"/>
                <w:szCs w:val="24"/>
              </w:rPr>
            </w:pPr>
            <w:r>
              <w:rPr>
                <w:rFonts w:ascii="Times New Roman" w:hAnsi="Times New Roman" w:eastAsia="仿宋"/>
                <w:color w:val="333333"/>
                <w:kern w:val="0"/>
                <w:sz w:val="24"/>
                <w:szCs w:val="24"/>
              </w:rPr>
              <w:t>备注</w:t>
            </w:r>
          </w:p>
        </w:tc>
        <w:tc>
          <w:tcPr>
            <w:tcW w:w="6949" w:type="dxa"/>
            <w:gridSpan w:val="2"/>
          </w:tcPr>
          <w:p>
            <w:pPr>
              <w:spacing w:line="500" w:lineRule="exact"/>
              <w:rPr>
                <w:rFonts w:ascii="Times New Roman" w:hAnsi="Times New Roman" w:eastAsia="仿宋"/>
                <w:color w:val="333333"/>
                <w:kern w:val="0"/>
                <w:sz w:val="24"/>
                <w:szCs w:val="24"/>
              </w:rPr>
            </w:pPr>
            <w:r>
              <w:rPr>
                <w:rFonts w:ascii="Times New Roman" w:hAnsi="Times New Roman" w:eastAsia="仿宋"/>
                <w:color w:val="333333"/>
                <w:kern w:val="0"/>
                <w:sz w:val="24"/>
                <w:szCs w:val="24"/>
              </w:rPr>
              <w:t>本次申报界定的相关市场及市场份额如下：</w:t>
            </w:r>
          </w:p>
          <w:tbl>
            <w:tblPr>
              <w:tblStyle w:val="7"/>
              <w:tblW w:w="640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715"/>
              <w:gridCol w:w="269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2" w:hRule="atLeast"/>
              </w:trPr>
              <w:tc>
                <w:tcPr>
                  <w:tcW w:w="3715" w:type="dxa"/>
                  <w:shd w:val="clear" w:color="auto" w:fill="D8D8D8" w:themeFill="background1" w:themeFillShade="D9"/>
                </w:tcPr>
                <w:p>
                  <w:pPr>
                    <w:jc w:val="center"/>
                    <w:rPr>
                      <w:rFonts w:ascii="Times New Roman" w:hAnsi="Times New Roman" w:eastAsia="仿宋"/>
                      <w:b/>
                      <w:bCs/>
                      <w:sz w:val="24"/>
                      <w:szCs w:val="24"/>
                    </w:rPr>
                  </w:pPr>
                  <w:r>
                    <w:rPr>
                      <w:rFonts w:ascii="Times New Roman" w:hAnsi="Times New Roman" w:eastAsia="仿宋"/>
                      <w:b/>
                      <w:bCs/>
                      <w:sz w:val="24"/>
                      <w:szCs w:val="24"/>
                    </w:rPr>
                    <w:t>相关市场</w:t>
                  </w:r>
                </w:p>
              </w:tc>
              <w:tc>
                <w:tcPr>
                  <w:tcW w:w="2693" w:type="dxa"/>
                  <w:shd w:val="clear" w:color="auto" w:fill="D8D8D8" w:themeFill="background1" w:themeFillShade="D9"/>
                </w:tcPr>
                <w:p>
                  <w:pPr>
                    <w:jc w:val="center"/>
                    <w:rPr>
                      <w:rFonts w:ascii="Times New Roman" w:hAnsi="Times New Roman" w:eastAsia="仿宋"/>
                      <w:b/>
                      <w:bCs/>
                      <w:sz w:val="24"/>
                      <w:szCs w:val="24"/>
                    </w:rPr>
                  </w:pPr>
                  <w:r>
                    <w:rPr>
                      <w:rFonts w:ascii="Times New Roman" w:hAnsi="Times New Roman" w:eastAsia="仿宋"/>
                      <w:b/>
                      <w:bCs/>
                      <w:sz w:val="24"/>
                      <w:szCs w:val="24"/>
                    </w:rPr>
                    <w:t>市场份额</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3715" w:type="dxa"/>
                  <w:vAlign w:val="center"/>
                </w:tcPr>
                <w:p>
                  <w:pPr>
                    <w:rPr>
                      <w:rFonts w:ascii="Times New Roman" w:hAnsi="Times New Roman" w:eastAsia="仿宋"/>
                      <w:sz w:val="24"/>
                      <w:szCs w:val="24"/>
                    </w:rPr>
                  </w:pPr>
                  <w:r>
                    <w:rPr>
                      <w:rFonts w:ascii="Times New Roman" w:hAnsi="Times New Roman" w:eastAsia="仿宋"/>
                      <w:sz w:val="24"/>
                      <w:szCs w:val="24"/>
                    </w:rPr>
                    <w:t>全球面板驱动芯片（设计）市场</w:t>
                  </w:r>
                </w:p>
              </w:tc>
              <w:tc>
                <w:tcPr>
                  <w:tcW w:w="2693" w:type="dxa"/>
                </w:tcPr>
                <w:p>
                  <w:pPr>
                    <w:jc w:val="center"/>
                    <w:rPr>
                      <w:rFonts w:ascii="Times New Roman" w:hAnsi="Times New Roman" w:eastAsia="仿宋"/>
                      <w:sz w:val="24"/>
                      <w:szCs w:val="24"/>
                    </w:rPr>
                  </w:pPr>
                  <w:r>
                    <w:rPr>
                      <w:rFonts w:ascii="Times New Roman" w:hAnsi="Times New Roman" w:eastAsia="仿宋"/>
                      <w:sz w:val="24"/>
                      <w:szCs w:val="24"/>
                    </w:rPr>
                    <w:t>奕力科技开曼（5-10%）</w:t>
                  </w:r>
                </w:p>
                <w:p>
                  <w:pPr>
                    <w:jc w:val="center"/>
                    <w:rPr>
                      <w:rFonts w:ascii="Times New Roman" w:hAnsi="Times New Roman" w:eastAsia="仿宋"/>
                      <w:sz w:val="24"/>
                      <w:szCs w:val="24"/>
                    </w:rPr>
                  </w:pPr>
                  <w:r>
                    <w:rPr>
                      <w:rFonts w:ascii="Times New Roman" w:hAnsi="Times New Roman" w:eastAsia="仿宋"/>
                      <w:sz w:val="24"/>
                      <w:szCs w:val="24"/>
                    </w:rPr>
                    <w:t>MagiCapital（0%）</w:t>
                  </w:r>
                </w:p>
              </w:tc>
            </w:tr>
          </w:tbl>
          <w:p>
            <w:pPr>
              <w:spacing w:line="500" w:lineRule="exact"/>
              <w:rPr>
                <w:rFonts w:ascii="Times New Roman" w:hAnsi="Times New Roman" w:eastAsia="仿宋"/>
                <w:color w:val="333333"/>
                <w:kern w:val="0"/>
                <w:sz w:val="24"/>
                <w:szCs w:val="24"/>
              </w:rPr>
            </w:pPr>
          </w:p>
        </w:tc>
      </w:tr>
    </w:tbl>
    <w:p>
      <w:pPr>
        <w:rPr>
          <w:rFonts w:ascii="Times New Roman" w:hAnsi="Times New Roman" w:eastAsia="仿宋"/>
        </w:rPr>
      </w:pP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A00002EF" w:usb1="4000207B" w:usb2="00000000" w:usb3="00000000" w:csb0="2000009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935167189"/>
      <w:docPartObj>
        <w:docPartGallery w:val="autotext"/>
      </w:docPartObj>
    </w:sdtPr>
    <w:sdtContent>
      <w:p>
        <w:pPr>
          <w:pStyle w:val="3"/>
          <w:jc w:val="center"/>
        </w:pPr>
        <w:r>
          <w:fldChar w:fldCharType="begin"/>
        </w:r>
        <w:r>
          <w:instrText xml:space="preserve">PAGE   \* MERGEFORMAT</w:instrText>
        </w:r>
        <w:r>
          <w:fldChar w:fldCharType="separate"/>
        </w:r>
        <w:r>
          <w:rPr>
            <w:lang w:val="zh-CN"/>
          </w:rPr>
          <w:t>2</w:t>
        </w:r>
        <w:r>
          <w:fldChar w:fldCharType="end"/>
        </w:r>
      </w:p>
    </w:sdtContent>
  </w:sdt>
  <w:p>
    <w:pPr>
      <w:pStyle w:val="3"/>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rsids>
    <w:rsidRoot w:val="00CB00DF"/>
    <w:rsid w:val="00037065"/>
    <w:rsid w:val="000D7EBA"/>
    <w:rsid w:val="001164CD"/>
    <w:rsid w:val="00155717"/>
    <w:rsid w:val="001837A3"/>
    <w:rsid w:val="002C0EA0"/>
    <w:rsid w:val="003425DE"/>
    <w:rsid w:val="003B225E"/>
    <w:rsid w:val="003C0AEB"/>
    <w:rsid w:val="00476704"/>
    <w:rsid w:val="004B73A6"/>
    <w:rsid w:val="004F7688"/>
    <w:rsid w:val="00581F71"/>
    <w:rsid w:val="005B2E49"/>
    <w:rsid w:val="005E4196"/>
    <w:rsid w:val="005F6056"/>
    <w:rsid w:val="006467D8"/>
    <w:rsid w:val="00691DC1"/>
    <w:rsid w:val="006A531B"/>
    <w:rsid w:val="006F7693"/>
    <w:rsid w:val="00710140"/>
    <w:rsid w:val="007A433E"/>
    <w:rsid w:val="007F2275"/>
    <w:rsid w:val="00875A30"/>
    <w:rsid w:val="00915F0F"/>
    <w:rsid w:val="00940A7A"/>
    <w:rsid w:val="009532DF"/>
    <w:rsid w:val="00997019"/>
    <w:rsid w:val="009A5029"/>
    <w:rsid w:val="009D38D5"/>
    <w:rsid w:val="00A367BB"/>
    <w:rsid w:val="00A53F26"/>
    <w:rsid w:val="00AA0CC5"/>
    <w:rsid w:val="00AF368A"/>
    <w:rsid w:val="00B16AFE"/>
    <w:rsid w:val="00B65DD5"/>
    <w:rsid w:val="00BD10B6"/>
    <w:rsid w:val="00C07076"/>
    <w:rsid w:val="00C96251"/>
    <w:rsid w:val="00CB00DF"/>
    <w:rsid w:val="00D341B1"/>
    <w:rsid w:val="00D73C72"/>
    <w:rsid w:val="00DB22D1"/>
    <w:rsid w:val="00E0592B"/>
    <w:rsid w:val="00E31738"/>
    <w:rsid w:val="00E86786"/>
    <w:rsid w:val="00ED2F80"/>
    <w:rsid w:val="00F1624E"/>
    <w:rsid w:val="00F32F8A"/>
    <w:rsid w:val="00F810AA"/>
    <w:rsid w:val="00FB43EC"/>
    <w:rsid w:val="00FB52B1"/>
    <w:rsid w:val="00FB6B40"/>
    <w:rsid w:val="00FC0687"/>
    <w:rsid w:val="18C45643"/>
    <w:rsid w:val="23B3658E"/>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5">
    <w:name w:val="Default Paragraph Font"/>
    <w:semiHidden/>
    <w:unhideWhenUsed/>
    <w:uiPriority w:val="1"/>
  </w:style>
  <w:style w:type="table" w:default="1" w:styleId="6">
    <w:name w:val="Normal Table"/>
    <w:semiHidden/>
    <w:unhideWhenUsed/>
    <w:qFormat/>
    <w:uiPriority w:val="99"/>
    <w:tblPr>
      <w:tblLayout w:type="fixed"/>
      <w:tblCellMar>
        <w:top w:w="0" w:type="dxa"/>
        <w:left w:w="108" w:type="dxa"/>
        <w:bottom w:w="0" w:type="dxa"/>
        <w:right w:w="108" w:type="dxa"/>
      </w:tblCellMar>
    </w:tblPr>
  </w:style>
  <w:style w:type="paragraph" w:styleId="2">
    <w:name w:val="Balloon Text"/>
    <w:basedOn w:val="1"/>
    <w:link w:val="10"/>
    <w:semiHidden/>
    <w:unhideWhenUsed/>
    <w:qFormat/>
    <w:uiPriority w:val="99"/>
    <w:rPr>
      <w:sz w:val="18"/>
      <w:szCs w:val="18"/>
    </w:rPr>
  </w:style>
  <w:style w:type="paragraph" w:styleId="3">
    <w:name w:val="footer"/>
    <w:basedOn w:val="1"/>
    <w:link w:val="9"/>
    <w:unhideWhenUsed/>
    <w:qFormat/>
    <w:uiPriority w:val="99"/>
    <w:pPr>
      <w:tabs>
        <w:tab w:val="center" w:pos="4153"/>
        <w:tab w:val="right" w:pos="8306"/>
      </w:tabs>
      <w:snapToGrid w:val="0"/>
      <w:jc w:val="left"/>
    </w:pPr>
    <w:rPr>
      <w:sz w:val="18"/>
      <w:szCs w:val="18"/>
    </w:rPr>
  </w:style>
  <w:style w:type="paragraph" w:styleId="4">
    <w:name w:val="header"/>
    <w:basedOn w:val="1"/>
    <w:link w:val="8"/>
    <w:unhideWhenUsed/>
    <w:uiPriority w:val="99"/>
    <w:pPr>
      <w:pBdr>
        <w:bottom w:val="single" w:color="auto" w:sz="6" w:space="1"/>
      </w:pBdr>
      <w:tabs>
        <w:tab w:val="center" w:pos="4153"/>
        <w:tab w:val="right" w:pos="8306"/>
      </w:tabs>
      <w:snapToGrid w:val="0"/>
      <w:jc w:val="center"/>
    </w:pPr>
    <w:rPr>
      <w:sz w:val="18"/>
      <w:szCs w:val="18"/>
    </w:rPr>
  </w:style>
  <w:style w:type="table" w:styleId="7">
    <w:name w:val="Table Grid"/>
    <w:basedOn w:val="6"/>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character" w:customStyle="1" w:styleId="8">
    <w:name w:val="页眉 字符"/>
    <w:basedOn w:val="5"/>
    <w:link w:val="4"/>
    <w:qFormat/>
    <w:uiPriority w:val="99"/>
    <w:rPr>
      <w:rFonts w:ascii="Calibri" w:hAnsi="Calibri" w:eastAsia="宋体" w:cs="Times New Roman"/>
      <w:sz w:val="18"/>
      <w:szCs w:val="18"/>
    </w:rPr>
  </w:style>
  <w:style w:type="character" w:customStyle="1" w:styleId="9">
    <w:name w:val="页脚 字符"/>
    <w:basedOn w:val="5"/>
    <w:link w:val="3"/>
    <w:qFormat/>
    <w:uiPriority w:val="99"/>
    <w:rPr>
      <w:rFonts w:ascii="Calibri" w:hAnsi="Calibri" w:eastAsia="宋体" w:cs="Times New Roman"/>
      <w:sz w:val="18"/>
      <w:szCs w:val="18"/>
    </w:rPr>
  </w:style>
  <w:style w:type="character" w:customStyle="1" w:styleId="10">
    <w:name w:val="批注框文本 字符"/>
    <w:basedOn w:val="5"/>
    <w:link w:val="2"/>
    <w:semiHidden/>
    <w:qFormat/>
    <w:uiPriority w:val="99"/>
    <w:rPr>
      <w:rFonts w:ascii="Calibri" w:hAnsi="Calibri" w:eastAsia="宋体" w:cs="Times New Roman"/>
      <w:sz w:val="18"/>
      <w:szCs w:val="18"/>
    </w:rPr>
  </w:style>
  <w:style w:type="paragraph" w:styleId="11">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4.xml"/><Relationship Id="rId7" Type="http://schemas.openxmlformats.org/officeDocument/2006/relationships/customXml" Target="../customXml/item3.xml"/><Relationship Id="rId6" Type="http://schemas.openxmlformats.org/officeDocument/2006/relationships/customXml" Target="../customXml/item2.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文档" ma:contentTypeID="0x01010003F49A999B04F8489231EDBFA864F5C3" ma:contentTypeVersion="0" ma:contentTypeDescription="新建文档。" ma:contentTypeScope="" ma:versionID="2421424eeeab1e1d3e2dc25b72e1f406">
  <xsd:schema xmlns:xsd="http://www.w3.org/2001/XMLSchema" xmlns:xs="http://www.w3.org/2001/XMLSchema" xmlns:p="http://schemas.microsoft.com/office/2006/metadata/properties" targetNamespace="http://schemas.microsoft.com/office/2006/metadata/properties" ma:root="true" ma:fieldsID="9adfd09ad98667f9c194c646e975416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A42B3CD-F5E6-49A9-9A9C-8FC337768175}">
  <ds:schemaRefs/>
</ds:datastoreItem>
</file>

<file path=customXml/itemProps3.xml><?xml version="1.0" encoding="utf-8"?>
<ds:datastoreItem xmlns:ds="http://schemas.openxmlformats.org/officeDocument/2006/customXml" ds:itemID="{BA0C93B0-B885-4C89-B7DF-C9629131136B}">
  <ds:schemaRefs/>
</ds:datastoreItem>
</file>

<file path=customXml/itemProps4.xml><?xml version="1.0" encoding="utf-8"?>
<ds:datastoreItem xmlns:ds="http://schemas.openxmlformats.org/officeDocument/2006/customXml" ds:itemID="{5BA5DD6A-EC53-49C8-B35B-E7283C71D33C}">
  <ds:schemaRefs/>
</ds:datastoreItem>
</file>

<file path=docProps/app.xml><?xml version="1.0" encoding="utf-8"?>
<Properties xmlns="http://schemas.openxmlformats.org/officeDocument/2006/extended-properties" xmlns:vt="http://schemas.openxmlformats.org/officeDocument/2006/docPropsVTypes">
  <Template>Normal</Template>
  <Pages>2</Pages>
  <Words>126</Words>
  <Characters>720</Characters>
  <Lines>6</Lines>
  <Paragraphs>1</Paragraphs>
  <TotalTime>34</TotalTime>
  <ScaleCrop>false</ScaleCrop>
  <LinksUpToDate>false</LinksUpToDate>
  <CharactersWithSpaces>845</CharactersWithSpaces>
  <Application>WPS Office_10.8.2.7129_F1E327BC-269C-435d-A152-05C5408002CA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2018-09-29T02:33:00Z</dcterms:created>
  <dc:creator>陈媚</dc:creator>
  <cp:lastModifiedBy>陈媚</cp:lastModifiedBy>
  <dcterms:modified xsi:type="dcterms:W3CDTF">2020-10-09T00:58:32Z</dcterms:modified>
  <cp:revision>22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0x01010003F49A999B04F8489231EDBFA864F5C3</vt:lpwstr>
  </property>
  <property fmtid="{D5CDD505-2E9C-101B-9397-08002B2CF9AE}" pid="3" name="KSOProductBuildVer">
    <vt:lpwstr>2052-10.8.2.7129</vt:lpwstr>
  </property>
</Properties>
</file>