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黑体" w:hAnsi="黑体" w:eastAsia="黑体" w:cs="Arial"/>
          <w:sz w:val="32"/>
          <w:szCs w:val="32"/>
        </w:rPr>
      </w:pPr>
      <w:r>
        <w:rPr>
          <w:rFonts w:ascii="黑体" w:hAnsi="黑体" w:eastAsia="黑体" w:cs="Arial"/>
          <w:sz w:val="32"/>
          <w:szCs w:val="32"/>
        </w:rPr>
        <w:t>经营者集中简易案件公示表</w:t>
      </w:r>
    </w:p>
    <w:p>
      <w:pPr>
        <w:spacing w:line="360" w:lineRule="auto"/>
        <w:ind w:firstLine="664" w:firstLineChars="302"/>
        <w:rPr>
          <w:rFonts w:ascii="Arial" w:hAnsi="Arial" w:cs="Arial"/>
          <w:sz w:val="22"/>
        </w:rPr>
      </w:pPr>
    </w:p>
    <w:tbl>
      <w:tblPr>
        <w:tblStyle w:val="7"/>
        <w:tblW w:w="8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9" w:type="dxa"/>
            <w:shd w:val="clear" w:color="auto" w:fill="D9D9D9"/>
            <w:vAlign w:val="center"/>
          </w:tcPr>
          <w:p>
            <w:pPr>
              <w:spacing w:line="360" w:lineRule="auto"/>
              <w:jc w:val="center"/>
              <w:rPr>
                <w:rFonts w:ascii="Arial" w:hAnsi="Arial" w:cs="Arial"/>
                <w:b/>
                <w:color w:val="333333"/>
                <w:kern w:val="0"/>
                <w:sz w:val="22"/>
              </w:rPr>
            </w:pPr>
            <w:r>
              <w:rPr>
                <w:rFonts w:ascii="Arial" w:hAnsi="Arial" w:cs="Arial"/>
                <w:b/>
                <w:color w:val="333333"/>
                <w:kern w:val="0"/>
                <w:sz w:val="22"/>
              </w:rPr>
              <w:t>案件名称</w:t>
            </w:r>
          </w:p>
        </w:tc>
        <w:tc>
          <w:tcPr>
            <w:tcW w:w="6949" w:type="dxa"/>
            <w:gridSpan w:val="2"/>
            <w:vAlign w:val="center"/>
          </w:tcPr>
          <w:p>
            <w:pPr>
              <w:spacing w:line="360" w:lineRule="auto"/>
              <w:jc w:val="center"/>
              <w:rPr>
                <w:rFonts w:ascii="宋体" w:hAnsi="宋体" w:cs="Arial"/>
                <w:color w:val="333333"/>
                <w:kern w:val="0"/>
                <w:sz w:val="22"/>
              </w:rPr>
            </w:pPr>
            <w:r>
              <w:rPr>
                <w:rFonts w:hint="eastAsia" w:ascii="宋体" w:hAnsi="宋体" w:cs="Arial"/>
                <w:kern w:val="0"/>
                <w:szCs w:val="21"/>
              </w:rPr>
              <w:t>老百姓大药房连锁股份有限公司收购赤峰人川大药房连锁有限公司股权案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jc w:val="center"/>
        </w:trPr>
        <w:tc>
          <w:tcPr>
            <w:tcW w:w="1809" w:type="dxa"/>
            <w:shd w:val="clear" w:color="auto" w:fill="D9D9D9"/>
            <w:vAlign w:val="center"/>
          </w:tcPr>
          <w:p>
            <w:pPr>
              <w:spacing w:line="360" w:lineRule="auto"/>
              <w:jc w:val="center"/>
              <w:rPr>
                <w:rFonts w:ascii="Arial" w:hAnsi="Arial" w:cs="Arial"/>
                <w:b/>
                <w:color w:val="333333"/>
                <w:kern w:val="0"/>
                <w:sz w:val="22"/>
              </w:rPr>
            </w:pPr>
            <w:r>
              <w:rPr>
                <w:rFonts w:ascii="Arial" w:hAnsi="Arial" w:cs="Arial"/>
                <w:b/>
                <w:color w:val="333333"/>
                <w:kern w:val="0"/>
                <w:sz w:val="22"/>
              </w:rPr>
              <w:t>交易概况</w:t>
            </w:r>
          </w:p>
          <w:p>
            <w:pPr>
              <w:spacing w:line="360" w:lineRule="auto"/>
              <w:jc w:val="center"/>
              <w:rPr>
                <w:rFonts w:ascii="Arial" w:hAnsi="Arial" w:cs="Arial"/>
                <w:b/>
                <w:color w:val="333333"/>
                <w:kern w:val="0"/>
                <w:sz w:val="22"/>
              </w:rPr>
            </w:pPr>
            <w:r>
              <w:rPr>
                <w:rFonts w:ascii="Arial" w:hAnsi="Arial" w:cs="Arial"/>
                <w:b/>
                <w:color w:val="333333"/>
                <w:kern w:val="0"/>
                <w:sz w:val="22"/>
              </w:rPr>
              <w:t>（限200字内）</w:t>
            </w:r>
          </w:p>
        </w:tc>
        <w:tc>
          <w:tcPr>
            <w:tcW w:w="6949" w:type="dxa"/>
            <w:gridSpan w:val="2"/>
            <w:vAlign w:val="center"/>
          </w:tcPr>
          <w:p>
            <w:pPr>
              <w:spacing w:line="360" w:lineRule="auto"/>
              <w:jc w:val="center"/>
              <w:rPr>
                <w:rFonts w:ascii="宋体" w:hAnsi="宋体" w:cs="Arial"/>
                <w:szCs w:val="21"/>
              </w:rPr>
            </w:pPr>
            <w:r>
              <w:rPr>
                <w:rFonts w:hint="eastAsia" w:ascii="宋体" w:hAnsi="宋体" w:cs="Arial"/>
                <w:szCs w:val="21"/>
              </w:rPr>
              <w:t>老百姓大药房连锁股份有限公司拟向上海骋臻企业管理合伙企业、上海铂熠企业管理咨询服务中心（有限合伙）、上海歆臻营销策划服务中心（有限合伙）收购其间接持有的赤峰人川大药房连锁有限公司</w:t>
            </w:r>
            <w:r>
              <w:rPr>
                <w:rFonts w:ascii="宋体" w:hAnsi="宋体" w:cs="Arial"/>
                <w:szCs w:val="21"/>
              </w:rPr>
              <w:t>10</w:t>
            </w:r>
            <w:r>
              <w:rPr>
                <w:rFonts w:hint="eastAsia" w:ascii="宋体" w:hAnsi="宋体" w:cs="Arial"/>
                <w:szCs w:val="21"/>
              </w:rPr>
              <w:t>0</w:t>
            </w:r>
            <w:r>
              <w:rPr>
                <w:rFonts w:ascii="宋体" w:hAnsi="宋体" w:cs="Arial"/>
                <w:szCs w:val="21"/>
              </w:rPr>
              <w:t>%</w:t>
            </w:r>
            <w:r>
              <w:rPr>
                <w:rFonts w:hint="eastAsia" w:ascii="宋体" w:hAnsi="宋体" w:cs="Arial"/>
                <w:szCs w:val="21"/>
              </w:rPr>
              <w:t>股权。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8" w:hRule="atLeast"/>
          <w:jc w:val="center"/>
        </w:trPr>
        <w:tc>
          <w:tcPr>
            <w:tcW w:w="1809" w:type="dxa"/>
            <w:shd w:val="clear" w:color="auto" w:fill="D9D9D9"/>
            <w:vAlign w:val="center"/>
          </w:tcPr>
          <w:p>
            <w:pPr>
              <w:spacing w:line="360" w:lineRule="auto"/>
              <w:jc w:val="center"/>
              <w:rPr>
                <w:rFonts w:ascii="Arial" w:hAnsi="Arial" w:cs="Arial"/>
                <w:b/>
                <w:color w:val="333333"/>
                <w:kern w:val="0"/>
                <w:sz w:val="22"/>
              </w:rPr>
            </w:pPr>
            <w:r>
              <w:rPr>
                <w:rFonts w:ascii="Arial" w:hAnsi="Arial" w:cs="Arial"/>
                <w:b/>
                <w:color w:val="333333"/>
                <w:kern w:val="0"/>
                <w:sz w:val="22"/>
              </w:rPr>
              <w:t>参与集中的</w:t>
            </w:r>
          </w:p>
          <w:p>
            <w:pPr>
              <w:spacing w:line="360" w:lineRule="auto"/>
              <w:jc w:val="center"/>
              <w:rPr>
                <w:rFonts w:ascii="Arial" w:hAnsi="Arial" w:cs="Arial"/>
                <w:b/>
                <w:color w:val="333333"/>
                <w:kern w:val="0"/>
                <w:sz w:val="22"/>
              </w:rPr>
            </w:pPr>
            <w:r>
              <w:rPr>
                <w:rFonts w:ascii="Arial" w:hAnsi="Arial" w:cs="Arial"/>
                <w:b/>
                <w:color w:val="333333"/>
                <w:kern w:val="0"/>
                <w:sz w:val="22"/>
              </w:rPr>
              <w:t>经营者简介</w:t>
            </w:r>
          </w:p>
        </w:tc>
        <w:tc>
          <w:tcPr>
            <w:tcW w:w="1796" w:type="dxa"/>
            <w:vAlign w:val="center"/>
          </w:tcPr>
          <w:p>
            <w:pPr>
              <w:spacing w:line="360" w:lineRule="auto"/>
              <w:jc w:val="center"/>
              <w:rPr>
                <w:rFonts w:ascii="宋体" w:hAnsi="宋体" w:cs="Arial"/>
                <w:szCs w:val="21"/>
              </w:rPr>
            </w:pPr>
            <w:r>
              <w:rPr>
                <w:rFonts w:ascii="宋体" w:hAnsi="宋体" w:cs="Arial"/>
                <w:szCs w:val="21"/>
              </w:rPr>
              <w:t>1、</w:t>
            </w:r>
            <w:r>
              <w:rPr>
                <w:rFonts w:hint="eastAsia" w:ascii="宋体" w:hAnsi="宋体" w:cs="Arial"/>
                <w:szCs w:val="21"/>
              </w:rPr>
              <w:t>老百姓大药房连锁股份有限公司</w:t>
            </w:r>
          </w:p>
          <w:p>
            <w:pPr>
              <w:spacing w:line="360" w:lineRule="auto"/>
              <w:jc w:val="center"/>
              <w:rPr>
                <w:rFonts w:ascii="宋体" w:hAnsi="宋体" w:cs="Arial"/>
                <w:color w:val="333333"/>
                <w:kern w:val="0"/>
                <w:szCs w:val="21"/>
              </w:rPr>
            </w:pPr>
          </w:p>
        </w:tc>
        <w:tc>
          <w:tcPr>
            <w:tcW w:w="5153" w:type="dxa"/>
            <w:vAlign w:val="center"/>
          </w:tcPr>
          <w:p>
            <w:pPr>
              <w:spacing w:line="360" w:lineRule="auto"/>
              <w:jc w:val="left"/>
              <w:rPr>
                <w:rFonts w:ascii="宋体" w:hAnsi="宋体" w:cs="Arial"/>
                <w:szCs w:val="21"/>
              </w:rPr>
            </w:pPr>
            <w:r>
              <w:rPr>
                <w:rFonts w:hint="eastAsia" w:ascii="宋体" w:hAnsi="宋体" w:cs="Arial"/>
                <w:szCs w:val="21"/>
              </w:rPr>
              <w:t>老百姓大药房连锁股份有限公司（603883）成立于2005年12月1日，</w:t>
            </w:r>
            <w:bookmarkStart w:id="1" w:name="_GoBack"/>
            <w:bookmarkEnd w:id="1"/>
            <w:r>
              <w:rPr>
                <w:rFonts w:hint="eastAsia" w:ascii="宋体" w:hAnsi="宋体" w:cs="Arial"/>
                <w:szCs w:val="21"/>
              </w:rPr>
              <w:t>注册资本为</w:t>
            </w:r>
            <w:r>
              <w:rPr>
                <w:rFonts w:ascii="宋体" w:hAnsi="宋体" w:cs="Arial"/>
                <w:szCs w:val="21"/>
              </w:rPr>
              <w:t>408,732,093</w:t>
            </w:r>
            <w:r>
              <w:rPr>
                <w:rFonts w:hint="eastAsia" w:ascii="宋体" w:hAnsi="宋体" w:cs="Arial"/>
                <w:szCs w:val="21"/>
              </w:rPr>
              <w:t>万元，法定代表人为谢子龙，住所为住所为长沙市开福区青竹湖路808号，统一社会信用代码为</w:t>
            </w:r>
            <w:r>
              <w:rPr>
                <w:rFonts w:ascii="宋体" w:hAnsi="宋体" w:cs="宋体"/>
                <w:color w:val="000000" w:themeColor="text1"/>
                <w14:textFill>
                  <w14:solidFill>
                    <w14:schemeClr w14:val="tx1"/>
                  </w14:solidFill>
                </w14:textFill>
              </w:rPr>
              <w:t>91430000782853875C</w:t>
            </w:r>
            <w:r>
              <w:rPr>
                <w:rFonts w:hint="eastAsia" w:ascii="宋体" w:hAnsi="宋体" w:cs="Arial"/>
                <w:szCs w:val="21"/>
              </w:rPr>
              <w:t>，经营范围为</w:t>
            </w:r>
            <w:r>
              <w:rPr>
                <w:rFonts w:ascii="宋体" w:hAnsi="宋体" w:cs="Arial"/>
                <w:szCs w:val="21"/>
              </w:rPr>
              <w:t>“</w:t>
            </w:r>
            <w:r>
              <w:rPr>
                <w:rFonts w:hint="eastAsia" w:ascii="宋体" w:hAnsi="宋体" w:cs="Arial"/>
                <w:szCs w:val="21"/>
              </w:rPr>
              <w:t>西药零售；中药材零售；中药饮片零售；中成药零售；化学药制剂零售；抗生素制剂零售；生化药品零售；生物制品销售；门诊部；一类医疗器械零售；二类医疗器械零售；三类医疗器械零售</w:t>
            </w:r>
            <w:r>
              <w:rPr>
                <w:rFonts w:hint="default" w:ascii="宋体" w:hAnsi="宋体" w:cs="Arial"/>
                <w:szCs w:val="21"/>
              </w:rPr>
              <w:t>等。</w:t>
            </w:r>
            <w:r>
              <w:rPr>
                <w:rFonts w:ascii="宋体" w:hAnsi="宋体" w:cs="Arial"/>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jc w:val="center"/>
        </w:trPr>
        <w:tc>
          <w:tcPr>
            <w:tcW w:w="1809" w:type="dxa"/>
            <w:shd w:val="clear" w:color="auto" w:fill="D9D9D9"/>
            <w:vAlign w:val="center"/>
          </w:tcPr>
          <w:p>
            <w:pPr>
              <w:spacing w:line="360" w:lineRule="auto"/>
              <w:jc w:val="center"/>
              <w:rPr>
                <w:rFonts w:ascii="Arial" w:hAnsi="Arial" w:cs="Arial"/>
                <w:b/>
                <w:color w:val="333333"/>
                <w:kern w:val="0"/>
                <w:sz w:val="22"/>
              </w:rPr>
            </w:pPr>
          </w:p>
        </w:tc>
        <w:tc>
          <w:tcPr>
            <w:tcW w:w="1796" w:type="dxa"/>
            <w:vAlign w:val="center"/>
          </w:tcPr>
          <w:p>
            <w:pPr>
              <w:spacing w:line="360" w:lineRule="auto"/>
              <w:jc w:val="center"/>
              <w:rPr>
                <w:rFonts w:ascii="宋体" w:hAnsi="宋体"/>
                <w:szCs w:val="21"/>
              </w:rPr>
            </w:pPr>
            <w:r>
              <w:rPr>
                <w:rFonts w:hint="eastAsia" w:ascii="宋体" w:hAnsi="宋体" w:cs="Arial"/>
                <w:color w:val="333333"/>
                <w:kern w:val="0"/>
                <w:szCs w:val="21"/>
              </w:rPr>
              <w:t>2</w:t>
            </w:r>
            <w:r>
              <w:rPr>
                <w:rFonts w:ascii="宋体" w:hAnsi="宋体" w:cs="Arial"/>
                <w:color w:val="333333"/>
                <w:kern w:val="0"/>
                <w:szCs w:val="21"/>
              </w:rPr>
              <w:t>、</w:t>
            </w:r>
            <w:r>
              <w:rPr>
                <w:rFonts w:hint="eastAsia" w:ascii="宋体" w:hAnsi="宋体" w:cs="宋体"/>
                <w:szCs w:val="21"/>
              </w:rPr>
              <w:t>赤峰人川大药房连锁有限公司</w:t>
            </w:r>
          </w:p>
          <w:p>
            <w:pPr>
              <w:spacing w:line="360" w:lineRule="auto"/>
              <w:jc w:val="center"/>
              <w:rPr>
                <w:rFonts w:ascii="宋体" w:hAnsi="宋体" w:cs="Arial"/>
                <w:color w:val="333333"/>
                <w:kern w:val="0"/>
                <w:szCs w:val="21"/>
              </w:rPr>
            </w:pPr>
          </w:p>
        </w:tc>
        <w:tc>
          <w:tcPr>
            <w:tcW w:w="5153" w:type="dxa"/>
            <w:vAlign w:val="center"/>
          </w:tcPr>
          <w:p>
            <w:pPr>
              <w:spacing w:line="360" w:lineRule="auto"/>
              <w:jc w:val="left"/>
              <w:rPr>
                <w:rFonts w:ascii="宋体" w:hAnsi="宋体"/>
                <w:szCs w:val="21"/>
              </w:rPr>
            </w:pPr>
            <w:r>
              <w:rPr>
                <w:rFonts w:hint="eastAsia" w:ascii="宋体" w:hAnsi="宋体" w:cs="宋体"/>
                <w:color w:val="333333"/>
                <w:kern w:val="0"/>
                <w:szCs w:val="21"/>
              </w:rPr>
              <w:t>赤峰人川大药房连锁有限公司成立于</w:t>
            </w:r>
            <w:r>
              <w:rPr>
                <w:rFonts w:hint="eastAsia" w:ascii="宋体" w:hAnsi="宋体" w:cs="宋体"/>
              </w:rPr>
              <w:t>2001年11月05日</w:t>
            </w:r>
            <w:r>
              <w:rPr>
                <w:rFonts w:hint="eastAsia" w:ascii="宋体" w:hAnsi="宋体" w:cs="宋体"/>
                <w:color w:val="333333"/>
                <w:kern w:val="0"/>
                <w:szCs w:val="21"/>
              </w:rPr>
              <w:t>，注册资本为6000万元，法定代表人为</w:t>
            </w:r>
            <w:r>
              <w:rPr>
                <w:rFonts w:hint="eastAsia" w:ascii="宋体" w:hAnsi="宋体"/>
                <w:szCs w:val="21"/>
              </w:rPr>
              <w:t>卞文明</w:t>
            </w:r>
          </w:p>
          <w:p>
            <w:pPr>
              <w:pStyle w:val="11"/>
              <w:spacing w:line="360" w:lineRule="auto"/>
              <w:jc w:val="left"/>
              <w:rPr>
                <w:rFonts w:ascii="宋体" w:hAnsi="宋体" w:cs="Arial"/>
                <w:color w:val="333333"/>
                <w:kern w:val="0"/>
                <w:sz w:val="21"/>
                <w:szCs w:val="21"/>
                <w:lang w:eastAsia="zh-CN"/>
              </w:rPr>
            </w:pPr>
            <w:r>
              <w:rPr>
                <w:rFonts w:hint="eastAsia" w:ascii="宋体" w:hAnsi="宋体" w:cs="宋体"/>
                <w:color w:val="333333"/>
                <w:kern w:val="0"/>
                <w:sz w:val="21"/>
                <w:szCs w:val="21"/>
                <w:lang w:val="en-US" w:eastAsia="zh-CN"/>
              </w:rPr>
              <w:t>，住所为</w:t>
            </w:r>
            <w:r>
              <w:rPr>
                <w:rFonts w:hint="eastAsia" w:ascii="宋体" w:hAnsi="宋体" w:cs="宋体"/>
                <w:lang w:eastAsia="zh-CN"/>
              </w:rPr>
              <w:t>内蒙古自治区赤峰市喀喇沁旗和美工贸园区应昌街北段</w:t>
            </w:r>
            <w:r>
              <w:rPr>
                <w:rFonts w:hint="eastAsia" w:ascii="宋体" w:hAnsi="宋体" w:cs="宋体"/>
                <w:color w:val="333333"/>
                <w:kern w:val="0"/>
                <w:sz w:val="21"/>
                <w:szCs w:val="21"/>
                <w:lang w:val="en-US" w:eastAsia="zh-CN"/>
              </w:rPr>
              <w:t>，统一社会信用代码为91150404X311548623，</w:t>
            </w:r>
            <w:r>
              <w:rPr>
                <w:rFonts w:ascii="宋体" w:hAnsi="宋体" w:cs="宋体"/>
                <w:color w:val="333333"/>
                <w:kern w:val="0"/>
                <w:sz w:val="21"/>
                <w:szCs w:val="21"/>
                <w:lang w:val="en-US" w:eastAsia="zh-CN"/>
              </w:rPr>
              <w:t>经营范围为</w:t>
            </w:r>
            <w:r>
              <w:rPr>
                <w:rFonts w:hint="eastAsia" w:ascii="宋体" w:hAnsi="宋体" w:cs="宋体"/>
                <w:color w:val="333333"/>
                <w:kern w:val="0"/>
                <w:sz w:val="21"/>
                <w:szCs w:val="21"/>
                <w:lang w:val="en-US" w:eastAsia="zh-CN"/>
              </w:rPr>
              <w:t>：“ 食品、药品、医疗器械、消杀用品、图书销售（凭许可有效期内经营）；第二类增值电信业务中的信息服务业务；化妆品、日用品、家具、玻璃仪器销售；仓储服务、装卸服务；企业管理咨询服务（不含金融、期货、证券）</w:t>
            </w:r>
            <w:r>
              <w:rPr>
                <w:rFonts w:hint="default" w:ascii="宋体" w:hAnsi="宋体" w:cs="宋体"/>
                <w:color w:val="333333"/>
                <w:kern w:val="0"/>
                <w:sz w:val="21"/>
                <w:szCs w:val="21"/>
                <w:lang w:eastAsia="zh-CN"/>
              </w:rPr>
              <w:t>等</w:t>
            </w:r>
            <w:r>
              <w:rPr>
                <w:rFonts w:hint="eastAsia" w:ascii="宋体" w:hAnsi="宋体" w:cs="宋体"/>
                <w:color w:val="333333"/>
                <w:kern w:val="0"/>
                <w:sz w:val="21"/>
                <w:szCs w:val="21"/>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jc w:val="center"/>
        </w:trPr>
        <w:tc>
          <w:tcPr>
            <w:tcW w:w="1809" w:type="dxa"/>
            <w:vMerge w:val="restart"/>
            <w:shd w:val="clear" w:color="auto" w:fill="D9D9D9"/>
            <w:vAlign w:val="center"/>
          </w:tcPr>
          <w:p>
            <w:pPr>
              <w:spacing w:line="360" w:lineRule="auto"/>
              <w:jc w:val="center"/>
              <w:rPr>
                <w:rFonts w:ascii="Arial" w:hAnsi="Arial" w:cs="Arial"/>
                <w:b/>
                <w:color w:val="333333"/>
                <w:kern w:val="0"/>
                <w:sz w:val="22"/>
              </w:rPr>
            </w:pPr>
            <w:r>
              <w:rPr>
                <w:rFonts w:ascii="Arial" w:hAnsi="Arial" w:cs="Arial"/>
                <w:b/>
                <w:color w:val="333333"/>
                <w:kern w:val="0"/>
                <w:sz w:val="22"/>
              </w:rPr>
              <w:t>简易案件理由（可以单选，也可以多选）</w:t>
            </w:r>
          </w:p>
        </w:tc>
        <w:tc>
          <w:tcPr>
            <w:tcW w:w="6949" w:type="dxa"/>
            <w:gridSpan w:val="2"/>
            <w:vAlign w:val="center"/>
          </w:tcPr>
          <w:p>
            <w:pPr>
              <w:spacing w:line="360" w:lineRule="auto"/>
              <w:jc w:val="center"/>
              <w:rPr>
                <w:rFonts w:ascii="Arial" w:hAnsi="Arial" w:cs="Arial"/>
                <w:color w:val="333333"/>
                <w:kern w:val="0"/>
                <w:sz w:val="22"/>
              </w:rPr>
            </w:pPr>
            <w:r>
              <w:rPr>
                <w:rFonts w:ascii="Wingdings" w:hAnsi="Wingdings" w:eastAsia="黑体" w:cs="Arial"/>
                <w:sz w:val="22"/>
              </w:rPr>
              <w:sym w:font="Wingdings" w:char="00FE"/>
            </w:r>
            <w:r>
              <w:rPr>
                <w:rFonts w:ascii="Wingdings" w:hAnsi="Wingdings"/>
                <w:sz w:val="22"/>
              </w:rPr>
              <w:t></w:t>
            </w:r>
            <w:r>
              <w:rPr>
                <w:rFonts w:ascii="宋体" w:hAnsi="宋体" w:cs="Arial"/>
                <w:color w:val="333333"/>
                <w:kern w:val="0"/>
                <w:szCs w:val="21"/>
              </w:rPr>
              <w:t>1. 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tcW w:w="1809" w:type="dxa"/>
            <w:vMerge w:val="continue"/>
            <w:shd w:val="clear" w:color="auto" w:fill="D9D9D9"/>
            <w:vAlign w:val="center"/>
          </w:tcPr>
          <w:p>
            <w:pPr>
              <w:spacing w:line="360" w:lineRule="auto"/>
              <w:jc w:val="center"/>
              <w:rPr>
                <w:rFonts w:ascii="Arial" w:hAnsi="Arial" w:cs="Arial"/>
                <w:b/>
                <w:color w:val="333333"/>
                <w:kern w:val="0"/>
                <w:sz w:val="22"/>
              </w:rPr>
            </w:pPr>
          </w:p>
        </w:tc>
        <w:tc>
          <w:tcPr>
            <w:tcW w:w="6949" w:type="dxa"/>
            <w:gridSpan w:val="2"/>
            <w:vAlign w:val="center"/>
          </w:tcPr>
          <w:p>
            <w:pPr>
              <w:spacing w:line="360" w:lineRule="auto"/>
              <w:jc w:val="center"/>
              <w:rPr>
                <w:rFonts w:ascii="Arial" w:hAnsi="Arial" w:cs="Arial"/>
                <w:color w:val="333333"/>
                <w:kern w:val="0"/>
                <w:sz w:val="22"/>
              </w:rPr>
            </w:pPr>
            <w:r>
              <w:rPr>
                <w:rFonts w:ascii="Wingdings" w:hAnsi="Wingdings" w:eastAsia="黑体" w:cs="Arial"/>
                <w:sz w:val="22"/>
              </w:rPr>
              <w:sym w:font="Wingdings" w:char="00A8"/>
            </w:r>
            <w:r>
              <w:rPr>
                <w:rFonts w:ascii="Wingdings" w:hAnsi="Wingdings" w:eastAsia="黑体" w:cs="Arial"/>
                <w:sz w:val="22"/>
              </w:rPr>
              <w:t></w:t>
            </w:r>
            <w:r>
              <w:rPr>
                <w:rFonts w:ascii="宋体" w:hAnsi="宋体" w:cs="Arial"/>
                <w:color w:val="333333"/>
                <w:kern w:val="0"/>
                <w:szCs w:val="21"/>
              </w:rPr>
              <w:t>2. 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jc w:val="center"/>
        </w:trPr>
        <w:tc>
          <w:tcPr>
            <w:tcW w:w="1809" w:type="dxa"/>
            <w:vMerge w:val="continue"/>
            <w:shd w:val="clear" w:color="auto" w:fill="D9D9D9"/>
            <w:vAlign w:val="center"/>
          </w:tcPr>
          <w:p>
            <w:pPr>
              <w:spacing w:line="360" w:lineRule="auto"/>
              <w:jc w:val="center"/>
              <w:rPr>
                <w:rFonts w:ascii="Arial" w:hAnsi="Arial" w:cs="Arial"/>
                <w:b/>
                <w:color w:val="333333"/>
                <w:kern w:val="0"/>
                <w:sz w:val="22"/>
              </w:rPr>
            </w:pPr>
          </w:p>
        </w:tc>
        <w:tc>
          <w:tcPr>
            <w:tcW w:w="6949" w:type="dxa"/>
            <w:gridSpan w:val="2"/>
            <w:vAlign w:val="center"/>
          </w:tcPr>
          <w:p>
            <w:pPr>
              <w:spacing w:line="360" w:lineRule="auto"/>
              <w:jc w:val="center"/>
              <w:rPr>
                <w:rFonts w:ascii="Arial" w:hAnsi="Arial" w:cs="Arial"/>
                <w:color w:val="333333"/>
                <w:kern w:val="0"/>
                <w:sz w:val="22"/>
              </w:rPr>
            </w:pPr>
            <w:r>
              <w:rPr>
                <w:rFonts w:ascii="Wingdings" w:hAnsi="Wingdings"/>
                <w:sz w:val="22"/>
              </w:rPr>
              <w:sym w:font="Wingdings" w:char="00FE"/>
            </w:r>
            <w:r>
              <w:rPr>
                <w:rFonts w:ascii="宋体" w:hAnsi="宋体" w:cs="Arial"/>
                <w:szCs w:val="21"/>
              </w:rPr>
              <w:t></w:t>
            </w:r>
            <w:r>
              <w:rPr>
                <w:rFonts w:ascii="宋体" w:hAnsi="宋体" w:cs="Arial"/>
                <w:color w:val="333333"/>
                <w:kern w:val="0"/>
                <w:szCs w:val="21"/>
              </w:rPr>
              <w:t>3. 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jc w:val="center"/>
        </w:trPr>
        <w:tc>
          <w:tcPr>
            <w:tcW w:w="1809" w:type="dxa"/>
            <w:vMerge w:val="continue"/>
            <w:shd w:val="clear" w:color="auto" w:fill="D9D9D9"/>
            <w:vAlign w:val="center"/>
          </w:tcPr>
          <w:p>
            <w:pPr>
              <w:spacing w:line="360" w:lineRule="auto"/>
              <w:jc w:val="center"/>
              <w:rPr>
                <w:rFonts w:ascii="Arial" w:hAnsi="Arial" w:cs="Arial"/>
                <w:b/>
                <w:color w:val="333333"/>
                <w:kern w:val="0"/>
                <w:sz w:val="22"/>
              </w:rPr>
            </w:pPr>
          </w:p>
        </w:tc>
        <w:tc>
          <w:tcPr>
            <w:tcW w:w="6949" w:type="dxa"/>
            <w:gridSpan w:val="2"/>
            <w:vAlign w:val="center"/>
          </w:tcPr>
          <w:p>
            <w:pPr>
              <w:spacing w:line="360" w:lineRule="auto"/>
              <w:jc w:val="center"/>
              <w:rPr>
                <w:rFonts w:ascii="Arial" w:hAnsi="Arial" w:cs="Arial"/>
                <w:color w:val="333333"/>
                <w:kern w:val="0"/>
                <w:sz w:val="22"/>
              </w:rPr>
            </w:pPr>
            <w:r>
              <w:rPr>
                <w:rFonts w:ascii="Wingdings" w:hAnsi="Wingdings"/>
                <w:sz w:val="22"/>
              </w:rPr>
              <w:t></w:t>
            </w:r>
            <w:r>
              <w:rPr>
                <w:rFonts w:ascii="宋体" w:hAnsi="宋体" w:cs="Arial"/>
                <w:color w:val="333333"/>
                <w:kern w:val="0"/>
                <w:sz w:val="22"/>
              </w:rPr>
              <w:t>4. 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jc w:val="center"/>
        </w:trPr>
        <w:tc>
          <w:tcPr>
            <w:tcW w:w="1809" w:type="dxa"/>
            <w:vMerge w:val="continue"/>
            <w:shd w:val="clear" w:color="auto" w:fill="D9D9D9"/>
            <w:vAlign w:val="center"/>
          </w:tcPr>
          <w:p>
            <w:pPr>
              <w:spacing w:line="360" w:lineRule="auto"/>
              <w:jc w:val="center"/>
              <w:rPr>
                <w:rFonts w:ascii="Arial" w:hAnsi="Arial" w:cs="Arial"/>
                <w:b/>
                <w:color w:val="333333"/>
                <w:kern w:val="0"/>
                <w:sz w:val="22"/>
              </w:rPr>
            </w:pPr>
          </w:p>
        </w:tc>
        <w:tc>
          <w:tcPr>
            <w:tcW w:w="6949" w:type="dxa"/>
            <w:gridSpan w:val="2"/>
            <w:vAlign w:val="center"/>
          </w:tcPr>
          <w:p>
            <w:pPr>
              <w:spacing w:line="360" w:lineRule="auto"/>
              <w:jc w:val="center"/>
              <w:rPr>
                <w:rFonts w:ascii="Arial" w:hAnsi="Arial" w:cs="Arial"/>
                <w:color w:val="333333"/>
                <w:kern w:val="0"/>
                <w:sz w:val="22"/>
              </w:rPr>
            </w:pPr>
            <w:r>
              <w:rPr>
                <w:rFonts w:ascii="Wingdings" w:hAnsi="Wingdings"/>
                <w:sz w:val="22"/>
              </w:rPr>
              <w:t></w:t>
            </w:r>
            <w:r>
              <w:rPr>
                <w:rFonts w:ascii="宋体" w:hAnsi="宋体" w:cs="Arial"/>
                <w:color w:val="333333"/>
                <w:kern w:val="0"/>
                <w:szCs w:val="21"/>
              </w:rPr>
              <w:t>5. 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jc w:val="center"/>
        </w:trPr>
        <w:tc>
          <w:tcPr>
            <w:tcW w:w="1809" w:type="dxa"/>
            <w:vMerge w:val="continue"/>
            <w:shd w:val="clear" w:color="auto" w:fill="D9D9D9"/>
            <w:vAlign w:val="center"/>
          </w:tcPr>
          <w:p>
            <w:pPr>
              <w:spacing w:line="360" w:lineRule="auto"/>
              <w:jc w:val="center"/>
              <w:rPr>
                <w:rFonts w:ascii="Arial" w:hAnsi="Arial" w:cs="Arial"/>
                <w:b/>
                <w:color w:val="333333"/>
                <w:kern w:val="0"/>
                <w:sz w:val="22"/>
              </w:rPr>
            </w:pPr>
          </w:p>
        </w:tc>
        <w:tc>
          <w:tcPr>
            <w:tcW w:w="6949" w:type="dxa"/>
            <w:gridSpan w:val="2"/>
            <w:vAlign w:val="center"/>
          </w:tcPr>
          <w:p>
            <w:pPr>
              <w:spacing w:line="360" w:lineRule="auto"/>
              <w:jc w:val="center"/>
              <w:rPr>
                <w:rFonts w:ascii="Arial" w:hAnsi="Arial" w:cs="Arial"/>
                <w:color w:val="333333"/>
                <w:kern w:val="0"/>
                <w:sz w:val="22"/>
              </w:rPr>
            </w:pPr>
            <w:r>
              <w:rPr>
                <w:rFonts w:ascii="Wingdings" w:hAnsi="Wingdings"/>
                <w:sz w:val="22"/>
              </w:rPr>
              <w:t></w:t>
            </w:r>
            <w:r>
              <w:rPr>
                <w:rFonts w:ascii="宋体" w:hAnsi="宋体" w:cs="Arial"/>
                <w:color w:val="333333"/>
                <w:kern w:val="0"/>
                <w:szCs w:val="21"/>
              </w:rPr>
              <w:t>6. 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08" w:hRule="atLeast"/>
          <w:jc w:val="center"/>
        </w:trPr>
        <w:tc>
          <w:tcPr>
            <w:tcW w:w="1809" w:type="dxa"/>
            <w:shd w:val="clear" w:color="auto" w:fill="D9D9D9"/>
            <w:vAlign w:val="center"/>
          </w:tcPr>
          <w:p>
            <w:pPr>
              <w:spacing w:line="360" w:lineRule="auto"/>
              <w:jc w:val="center"/>
              <w:rPr>
                <w:rFonts w:ascii="Arial" w:hAnsi="Arial" w:cs="Arial"/>
                <w:b/>
                <w:color w:val="333333"/>
                <w:kern w:val="0"/>
                <w:sz w:val="22"/>
              </w:rPr>
            </w:pPr>
            <w:r>
              <w:rPr>
                <w:rFonts w:ascii="Arial" w:hAnsi="Arial" w:cs="Arial"/>
                <w:b/>
                <w:color w:val="333333"/>
                <w:kern w:val="0"/>
                <w:sz w:val="22"/>
              </w:rPr>
              <w:t>备注</w:t>
            </w:r>
          </w:p>
        </w:tc>
        <w:tc>
          <w:tcPr>
            <w:tcW w:w="6949" w:type="dxa"/>
            <w:gridSpan w:val="2"/>
            <w:vAlign w:val="center"/>
          </w:tcPr>
          <w:p>
            <w:pPr>
              <w:widowControl/>
              <w:snapToGrid w:val="0"/>
              <w:jc w:val="center"/>
              <w:rPr>
                <w:rFonts w:ascii="宋体" w:hAnsi="宋体" w:cs="Arial"/>
                <w:b/>
                <w:bCs/>
                <w:color w:val="333333"/>
                <w:kern w:val="0"/>
                <w:szCs w:val="21"/>
              </w:rPr>
            </w:pPr>
            <w:bookmarkStart w:id="0" w:name="_Hlk536277745"/>
            <w:r>
              <w:rPr>
                <w:rFonts w:hint="eastAsia" w:ascii="宋体" w:hAnsi="宋体" w:cs="Arial"/>
                <w:b/>
                <w:bCs/>
                <w:color w:val="333333"/>
                <w:kern w:val="0"/>
                <w:szCs w:val="21"/>
              </w:rPr>
              <w:t>1.相关商品市场</w:t>
            </w:r>
          </w:p>
          <w:p>
            <w:pPr>
              <w:widowControl/>
              <w:snapToGrid w:val="0"/>
              <w:jc w:val="center"/>
              <w:rPr>
                <w:rFonts w:ascii="宋体" w:hAnsi="宋体" w:cs="Arial"/>
                <w:color w:val="333333"/>
                <w:kern w:val="0"/>
                <w:szCs w:val="21"/>
              </w:rPr>
            </w:pPr>
            <w:r>
              <w:rPr>
                <w:rFonts w:hint="eastAsia" w:ascii="宋体" w:hAnsi="宋体" w:cs="Arial"/>
                <w:color w:val="333333"/>
                <w:kern w:val="0"/>
                <w:szCs w:val="21"/>
              </w:rPr>
              <w:t>（1）药品零售</w:t>
            </w:r>
          </w:p>
          <w:p>
            <w:pPr>
              <w:widowControl/>
              <w:snapToGrid w:val="0"/>
              <w:jc w:val="center"/>
              <w:rPr>
                <w:rFonts w:ascii="宋体" w:hAnsi="宋体" w:cs="Arial"/>
                <w:color w:val="333333"/>
                <w:kern w:val="0"/>
                <w:szCs w:val="21"/>
              </w:rPr>
            </w:pPr>
            <w:r>
              <w:rPr>
                <w:rFonts w:hint="eastAsia" w:ascii="宋体" w:hAnsi="宋体" w:cs="Arial"/>
                <w:color w:val="333333"/>
                <w:kern w:val="0"/>
                <w:szCs w:val="21"/>
              </w:rPr>
              <w:t>（2）药品批发</w:t>
            </w:r>
          </w:p>
          <w:p>
            <w:pPr>
              <w:widowControl/>
              <w:snapToGrid w:val="0"/>
              <w:jc w:val="center"/>
              <w:rPr>
                <w:rFonts w:ascii="宋体" w:hAnsi="宋体" w:cs="Arial"/>
                <w:b/>
                <w:bCs/>
                <w:color w:val="333333"/>
                <w:kern w:val="0"/>
                <w:szCs w:val="21"/>
              </w:rPr>
            </w:pPr>
            <w:r>
              <w:rPr>
                <w:rFonts w:hint="eastAsia" w:ascii="宋体" w:hAnsi="宋体" w:cs="Arial"/>
                <w:b/>
                <w:bCs/>
                <w:color w:val="333333"/>
                <w:kern w:val="0"/>
                <w:szCs w:val="21"/>
              </w:rPr>
              <w:t>2.相关地域市场</w:t>
            </w:r>
          </w:p>
          <w:p>
            <w:pPr>
              <w:jc w:val="center"/>
              <w:rPr>
                <w:rFonts w:ascii="宋体" w:hAnsi="宋体" w:cs="Arial"/>
                <w:color w:val="333333"/>
                <w:kern w:val="0"/>
                <w:szCs w:val="21"/>
              </w:rPr>
            </w:pPr>
            <w:r>
              <w:rPr>
                <w:rFonts w:hint="eastAsia" w:ascii="宋体" w:hAnsi="宋体" w:cs="Arial"/>
                <w:color w:val="333333"/>
                <w:kern w:val="0"/>
                <w:szCs w:val="21"/>
              </w:rPr>
              <w:t>（1）药品零售市场：赤峰市</w:t>
            </w:r>
          </w:p>
          <w:p>
            <w:pPr>
              <w:jc w:val="center"/>
              <w:rPr>
                <w:rFonts w:ascii="宋体" w:hAnsi="宋体" w:cs="Arial"/>
                <w:color w:val="333333"/>
                <w:kern w:val="0"/>
                <w:szCs w:val="21"/>
              </w:rPr>
            </w:pPr>
            <w:r>
              <w:rPr>
                <w:rFonts w:hint="eastAsia" w:ascii="宋体" w:hAnsi="宋体" w:cs="Arial"/>
                <w:color w:val="333333"/>
                <w:kern w:val="0"/>
                <w:szCs w:val="21"/>
              </w:rPr>
              <w:t>（2）药品批发市场：中国</w:t>
            </w:r>
          </w:p>
          <w:p>
            <w:pPr>
              <w:widowControl/>
              <w:snapToGrid w:val="0"/>
              <w:ind w:firstLine="420" w:firstLineChars="200"/>
              <w:jc w:val="center"/>
              <w:rPr>
                <w:rFonts w:ascii="宋体" w:hAnsi="宋体" w:cs="Arial"/>
                <w:b/>
                <w:bCs/>
                <w:color w:val="333333"/>
                <w:kern w:val="0"/>
                <w:szCs w:val="21"/>
              </w:rPr>
            </w:pPr>
          </w:p>
          <w:p>
            <w:pPr>
              <w:widowControl/>
              <w:snapToGrid w:val="0"/>
              <w:jc w:val="center"/>
              <w:rPr>
                <w:rFonts w:ascii="仿宋_GB2312" w:hAnsi="仿宋_GB2312" w:eastAsia="仿宋_GB2312"/>
                <w:b/>
                <w:bCs/>
                <w:sz w:val="24"/>
                <w:szCs w:val="24"/>
              </w:rPr>
            </w:pPr>
            <w:r>
              <w:rPr>
                <w:rFonts w:hint="eastAsia" w:ascii="宋体" w:hAnsi="宋体" w:cs="Arial"/>
                <w:b/>
                <w:bCs/>
                <w:color w:val="333333"/>
                <w:kern w:val="0"/>
                <w:szCs w:val="21"/>
              </w:rPr>
              <w:t>3.参与集中的各方在各相关市场的市场份额</w:t>
            </w:r>
          </w:p>
          <w:p>
            <w:pPr>
              <w:jc w:val="center"/>
              <w:rPr>
                <w:rFonts w:ascii="宋体" w:hAnsi="宋体" w:cs="Arial"/>
                <w:color w:val="333333"/>
                <w:kern w:val="0"/>
                <w:szCs w:val="21"/>
              </w:rPr>
            </w:pPr>
            <w:r>
              <w:rPr>
                <w:rFonts w:hint="eastAsia" w:ascii="宋体" w:hAnsi="宋体" w:cs="Arial"/>
                <w:color w:val="333333"/>
                <w:kern w:val="0"/>
                <w:szCs w:val="21"/>
              </w:rPr>
              <w:t>相关产品市场：药品零售</w:t>
            </w:r>
          </w:p>
          <w:p>
            <w:pPr>
              <w:jc w:val="center"/>
              <w:rPr>
                <w:rFonts w:ascii="宋体" w:hAnsi="宋体" w:cs="Arial"/>
                <w:color w:val="333333"/>
                <w:kern w:val="0"/>
                <w:szCs w:val="21"/>
              </w:rPr>
            </w:pPr>
            <w:r>
              <w:rPr>
                <w:rFonts w:hint="eastAsia" w:ascii="宋体" w:hAnsi="宋体" w:cs="Arial"/>
                <w:color w:val="333333"/>
                <w:kern w:val="0"/>
                <w:szCs w:val="21"/>
              </w:rPr>
              <w:t>相关地域市场：赤峰市</w:t>
            </w:r>
          </w:p>
          <w:p>
            <w:pPr>
              <w:jc w:val="center"/>
              <w:rPr>
                <w:rFonts w:ascii="宋体" w:hAnsi="宋体" w:cs="Arial"/>
                <w:color w:val="333333"/>
                <w:kern w:val="0"/>
                <w:szCs w:val="21"/>
              </w:rPr>
            </w:pPr>
            <w:r>
              <w:rPr>
                <w:rFonts w:hint="eastAsia" w:ascii="宋体" w:hAnsi="宋体" w:cs="Arial"/>
                <w:color w:val="333333"/>
                <w:kern w:val="0"/>
                <w:szCs w:val="21"/>
              </w:rPr>
              <w:t>市场份额：</w:t>
            </w:r>
            <w:bookmarkEnd w:id="0"/>
          </w:p>
          <w:tbl>
            <w:tblPr>
              <w:tblStyle w:val="8"/>
              <w:tblpPr w:leftFromText="180" w:rightFromText="180" w:vertAnchor="text" w:horzAnchor="page" w:tblpX="551" w:tblpY="123"/>
              <w:tblOverlap w:val="never"/>
              <w:tblW w:w="5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59"/>
              <w:gridCol w:w="2161"/>
            </w:tblGrid>
            <w:tr>
              <w:trPr>
                <w:trHeight w:val="499" w:hRule="atLeast"/>
              </w:trPr>
              <w:tc>
                <w:tcPr>
                  <w:tcW w:w="3759" w:type="dxa"/>
                  <w:vAlign w:val="center"/>
                </w:tcPr>
                <w:p>
                  <w:pPr>
                    <w:pStyle w:val="2"/>
                    <w:keepNext/>
                    <w:keepLines/>
                    <w:snapToGrid w:val="0"/>
                    <w:spacing w:after="0" w:line="360" w:lineRule="auto"/>
                    <w:jc w:val="center"/>
                    <w:rPr>
                      <w:rFonts w:ascii="宋体" w:hAnsi="宋体" w:cs="宋体"/>
                      <w:b/>
                      <w:szCs w:val="21"/>
                      <w:highlight w:val="yellow"/>
                    </w:rPr>
                  </w:pPr>
                  <w:r>
                    <w:rPr>
                      <w:rFonts w:hint="eastAsia" w:ascii="宋体" w:hAnsi="宋体" w:cs="宋体"/>
                      <w:b/>
                      <w:szCs w:val="21"/>
                    </w:rPr>
                    <w:t>公司名称</w:t>
                  </w:r>
                </w:p>
              </w:tc>
              <w:tc>
                <w:tcPr>
                  <w:tcW w:w="2161" w:type="dxa"/>
                  <w:vAlign w:val="center"/>
                </w:tcPr>
                <w:p>
                  <w:pPr>
                    <w:pStyle w:val="2"/>
                    <w:keepNext/>
                    <w:keepLines/>
                    <w:snapToGrid w:val="0"/>
                    <w:spacing w:after="0" w:line="360" w:lineRule="auto"/>
                    <w:ind w:right="183"/>
                    <w:jc w:val="center"/>
                    <w:rPr>
                      <w:rFonts w:ascii="宋体" w:hAnsi="宋体" w:cs="宋体"/>
                      <w:b/>
                      <w:szCs w:val="21"/>
                      <w:highlight w:val="yellow"/>
                    </w:rPr>
                  </w:pPr>
                  <w:r>
                    <w:rPr>
                      <w:rFonts w:hint="eastAsia" w:ascii="宋体" w:hAnsi="宋体" w:cs="宋体"/>
                      <w:b/>
                      <w:szCs w:val="21"/>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9" w:hRule="atLeast"/>
              </w:trPr>
              <w:tc>
                <w:tcPr>
                  <w:tcW w:w="3759" w:type="dxa"/>
                  <w:vAlign w:val="center"/>
                </w:tcPr>
                <w:p>
                  <w:pPr>
                    <w:pStyle w:val="2"/>
                    <w:keepNext/>
                    <w:keepLines/>
                    <w:snapToGrid w:val="0"/>
                    <w:spacing w:after="0" w:line="360" w:lineRule="auto"/>
                    <w:jc w:val="center"/>
                    <w:rPr>
                      <w:rFonts w:ascii="宋体" w:hAnsi="宋体" w:cs="宋体"/>
                      <w:b/>
                      <w:szCs w:val="21"/>
                      <w:highlight w:val="yellow"/>
                    </w:rPr>
                  </w:pPr>
                  <w:r>
                    <w:rPr>
                      <w:rFonts w:hint="eastAsia" w:ascii="宋体" w:hAnsi="宋体" w:cs="宋体"/>
                      <w:szCs w:val="21"/>
                    </w:rPr>
                    <w:t>赤峰人川大药房连锁有限公司</w:t>
                  </w:r>
                </w:p>
              </w:tc>
              <w:tc>
                <w:tcPr>
                  <w:tcW w:w="2161" w:type="dxa"/>
                  <w:vAlign w:val="center"/>
                </w:tcPr>
                <w:p>
                  <w:pPr>
                    <w:snapToGrid w:val="0"/>
                    <w:spacing w:line="360" w:lineRule="auto"/>
                    <w:jc w:val="center"/>
                    <w:rPr>
                      <w:rFonts w:ascii="宋体" w:hAnsi="宋体" w:cs="宋体"/>
                      <w:b/>
                      <w:szCs w:val="21"/>
                      <w:highlight w:val="yellow"/>
                    </w:rPr>
                  </w:pPr>
                  <w:r>
                    <w:rPr>
                      <w:rFonts w:hint="eastAsia" w:ascii="宋体" w:hAnsi="宋体" w:cs="宋体"/>
                      <w:szCs w:val="21"/>
                    </w:rPr>
                    <w:t>[1</w:t>
                  </w:r>
                  <w:r>
                    <w:rPr>
                      <w:rFonts w:ascii="宋体" w:hAnsi="宋体" w:cs="宋体"/>
                      <w:szCs w:val="21"/>
                    </w:rPr>
                    <w:t>5</w:t>
                  </w:r>
                  <w:r>
                    <w:rPr>
                      <w:rFonts w:hint="eastAsia" w:ascii="宋体" w:hAnsi="宋体" w:cs="宋体"/>
                      <w:szCs w:val="21"/>
                    </w:rPr>
                    <w:t>-</w:t>
                  </w:r>
                  <w:r>
                    <w:rPr>
                      <w:rFonts w:ascii="宋体" w:hAnsi="宋体" w:cs="宋体"/>
                      <w:szCs w:val="21"/>
                    </w:rPr>
                    <w:t>20</w:t>
                  </w:r>
                  <w:r>
                    <w:rPr>
                      <w:rFonts w:hint="eastAsia" w:ascii="宋体" w:hAnsi="宋体" w:cs="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7" w:hRule="atLeast"/>
              </w:trPr>
              <w:tc>
                <w:tcPr>
                  <w:tcW w:w="3759" w:type="dxa"/>
                  <w:vAlign w:val="center"/>
                </w:tcPr>
                <w:p>
                  <w:pPr>
                    <w:pStyle w:val="2"/>
                    <w:keepNext/>
                    <w:keepLines/>
                    <w:snapToGrid w:val="0"/>
                    <w:spacing w:after="0" w:line="360" w:lineRule="auto"/>
                    <w:jc w:val="center"/>
                    <w:rPr>
                      <w:rFonts w:ascii="宋体" w:hAnsi="宋体" w:cs="宋体"/>
                      <w:b/>
                      <w:szCs w:val="21"/>
                      <w:highlight w:val="yellow"/>
                    </w:rPr>
                  </w:pPr>
                  <w:r>
                    <w:rPr>
                      <w:rFonts w:hint="eastAsia" w:ascii="宋体" w:hAnsi="宋体" w:cs="宋体"/>
                      <w:b/>
                      <w:szCs w:val="21"/>
                    </w:rPr>
                    <w:t>交易各方合计</w:t>
                  </w:r>
                </w:p>
              </w:tc>
              <w:tc>
                <w:tcPr>
                  <w:tcW w:w="2161" w:type="dxa"/>
                  <w:vAlign w:val="center"/>
                </w:tcPr>
                <w:p>
                  <w:pPr>
                    <w:snapToGrid w:val="0"/>
                    <w:spacing w:line="360" w:lineRule="auto"/>
                    <w:jc w:val="center"/>
                    <w:rPr>
                      <w:rFonts w:ascii="宋体" w:hAnsi="宋体" w:cs="宋体"/>
                      <w:b/>
                      <w:szCs w:val="21"/>
                      <w:highlight w:val="yellow"/>
                    </w:rPr>
                  </w:pPr>
                  <w:r>
                    <w:rPr>
                      <w:rFonts w:hint="eastAsia" w:ascii="宋体" w:hAnsi="宋体" w:cs="宋体"/>
                      <w:b/>
                      <w:szCs w:val="21"/>
                    </w:rPr>
                    <w:t>[</w:t>
                  </w:r>
                  <w:r>
                    <w:rPr>
                      <w:rFonts w:ascii="宋体" w:hAnsi="宋体" w:cs="宋体"/>
                      <w:b/>
                      <w:szCs w:val="21"/>
                    </w:rPr>
                    <w:t>15</w:t>
                  </w:r>
                  <w:r>
                    <w:rPr>
                      <w:rFonts w:hint="eastAsia" w:ascii="宋体" w:hAnsi="宋体" w:cs="宋体"/>
                      <w:b/>
                      <w:szCs w:val="21"/>
                    </w:rPr>
                    <w:t>-</w:t>
                  </w:r>
                  <w:r>
                    <w:rPr>
                      <w:rFonts w:ascii="宋体" w:hAnsi="宋体" w:cs="宋体"/>
                      <w:b/>
                      <w:szCs w:val="21"/>
                    </w:rPr>
                    <w:t>20</w:t>
                  </w:r>
                  <w:r>
                    <w:rPr>
                      <w:rFonts w:hint="eastAsia" w:ascii="宋体" w:hAnsi="宋体" w:cs="宋体"/>
                      <w:b/>
                      <w:szCs w:val="21"/>
                    </w:rPr>
                    <w:t>]%</w:t>
                  </w:r>
                </w:p>
              </w:tc>
            </w:tr>
          </w:tbl>
          <w:p>
            <w:pPr>
              <w:jc w:val="center"/>
              <w:rPr>
                <w:rFonts w:ascii="宋体" w:hAnsi="宋体" w:cs="Arial"/>
                <w:color w:val="333333"/>
                <w:kern w:val="0"/>
                <w:szCs w:val="21"/>
              </w:rPr>
            </w:pPr>
            <w:r>
              <w:rPr>
                <w:rFonts w:hint="eastAsia" w:ascii="宋体" w:hAnsi="宋体" w:cs="Arial"/>
                <w:color w:val="333333"/>
                <w:kern w:val="0"/>
                <w:szCs w:val="21"/>
              </w:rPr>
              <w:t>相关产品市场：药品批发</w:t>
            </w:r>
          </w:p>
          <w:p>
            <w:pPr>
              <w:jc w:val="center"/>
              <w:rPr>
                <w:rFonts w:ascii="宋体" w:hAnsi="宋体" w:cs="Arial"/>
                <w:color w:val="333333"/>
                <w:kern w:val="0"/>
                <w:szCs w:val="21"/>
              </w:rPr>
            </w:pPr>
            <w:r>
              <w:rPr>
                <w:rFonts w:hint="eastAsia" w:ascii="宋体" w:hAnsi="宋体" w:cs="Arial"/>
                <w:color w:val="333333"/>
                <w:kern w:val="0"/>
                <w:szCs w:val="21"/>
              </w:rPr>
              <w:t>相关地域市场：中国</w:t>
            </w:r>
          </w:p>
          <w:tbl>
            <w:tblPr>
              <w:tblStyle w:val="8"/>
              <w:tblpPr w:leftFromText="180" w:rightFromText="180" w:vertAnchor="text" w:horzAnchor="page" w:tblpX="551" w:tblpY="587"/>
              <w:tblOverlap w:val="never"/>
              <w:tblW w:w="59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59"/>
              <w:gridCol w:w="21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9" w:hRule="atLeast"/>
              </w:trPr>
              <w:tc>
                <w:tcPr>
                  <w:tcW w:w="3759" w:type="dxa"/>
                  <w:vAlign w:val="center"/>
                </w:tcPr>
                <w:p>
                  <w:pPr>
                    <w:jc w:val="center"/>
                    <w:rPr>
                      <w:rFonts w:ascii="宋体" w:hAnsi="宋体" w:cs="Arial"/>
                      <w:color w:val="333333"/>
                      <w:kern w:val="0"/>
                      <w:szCs w:val="21"/>
                    </w:rPr>
                  </w:pPr>
                  <w:r>
                    <w:rPr>
                      <w:rFonts w:hint="eastAsia" w:ascii="宋体" w:hAnsi="宋体" w:cs="Arial"/>
                      <w:color w:val="333333"/>
                      <w:kern w:val="0"/>
                      <w:szCs w:val="21"/>
                    </w:rPr>
                    <w:t>公司名称</w:t>
                  </w:r>
                </w:p>
              </w:tc>
              <w:tc>
                <w:tcPr>
                  <w:tcW w:w="2161" w:type="dxa"/>
                  <w:vAlign w:val="center"/>
                </w:tcPr>
                <w:p>
                  <w:pPr>
                    <w:jc w:val="center"/>
                    <w:rPr>
                      <w:rFonts w:ascii="宋体" w:hAnsi="宋体" w:cs="Arial"/>
                      <w:color w:val="333333"/>
                      <w:kern w:val="0"/>
                      <w:szCs w:val="21"/>
                    </w:rPr>
                  </w:pPr>
                  <w:r>
                    <w:rPr>
                      <w:rFonts w:hint="eastAsia" w:ascii="宋体" w:hAnsi="宋体" w:cs="Arial"/>
                      <w:color w:val="333333"/>
                      <w:kern w:val="0"/>
                      <w:szCs w:val="21"/>
                    </w:rPr>
                    <w:t>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9" w:hRule="atLeast"/>
              </w:trPr>
              <w:tc>
                <w:tcPr>
                  <w:tcW w:w="3759" w:type="dxa"/>
                  <w:vAlign w:val="center"/>
                </w:tcPr>
                <w:p>
                  <w:pPr>
                    <w:jc w:val="center"/>
                    <w:rPr>
                      <w:rFonts w:ascii="宋体" w:hAnsi="宋体" w:cs="Arial"/>
                      <w:color w:val="333333"/>
                      <w:kern w:val="0"/>
                      <w:szCs w:val="21"/>
                    </w:rPr>
                  </w:pPr>
                  <w:r>
                    <w:rPr>
                      <w:rFonts w:hint="eastAsia" w:ascii="宋体" w:hAnsi="宋体" w:cs="Arial"/>
                      <w:color w:val="333333"/>
                      <w:kern w:val="0"/>
                      <w:szCs w:val="21"/>
                    </w:rPr>
                    <w:t>老百姓大药房连锁股份有限公司</w:t>
                  </w:r>
                </w:p>
              </w:tc>
              <w:tc>
                <w:tcPr>
                  <w:tcW w:w="2161" w:type="dxa"/>
                  <w:vAlign w:val="center"/>
                </w:tcPr>
                <w:p>
                  <w:pPr>
                    <w:jc w:val="center"/>
                    <w:rPr>
                      <w:rFonts w:ascii="宋体" w:hAnsi="宋体" w:cs="Arial"/>
                      <w:color w:val="333333"/>
                      <w:kern w:val="0"/>
                      <w:szCs w:val="21"/>
                    </w:rPr>
                  </w:pPr>
                  <w:r>
                    <w:rPr>
                      <w:rFonts w:hint="eastAsia" w:ascii="宋体" w:hAnsi="宋体" w:cs="Arial"/>
                      <w:color w:val="333333"/>
                      <w:kern w:val="0"/>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9" w:hRule="atLeast"/>
              </w:trPr>
              <w:tc>
                <w:tcPr>
                  <w:tcW w:w="3759" w:type="dxa"/>
                  <w:vAlign w:val="center"/>
                </w:tcPr>
                <w:p>
                  <w:pPr>
                    <w:jc w:val="center"/>
                    <w:rPr>
                      <w:rFonts w:ascii="宋体" w:hAnsi="宋体" w:cs="Arial"/>
                      <w:color w:val="333333"/>
                      <w:kern w:val="0"/>
                      <w:szCs w:val="21"/>
                    </w:rPr>
                  </w:pPr>
                  <w:r>
                    <w:rPr>
                      <w:rFonts w:hint="eastAsia" w:ascii="宋体" w:hAnsi="宋体" w:cs="Arial"/>
                      <w:color w:val="333333"/>
                      <w:kern w:val="0"/>
                      <w:szCs w:val="21"/>
                    </w:rPr>
                    <w:t>赤峰人川大药房连锁有限公司</w:t>
                  </w:r>
                </w:p>
              </w:tc>
              <w:tc>
                <w:tcPr>
                  <w:tcW w:w="2161" w:type="dxa"/>
                  <w:vAlign w:val="center"/>
                </w:tcPr>
                <w:p>
                  <w:pPr>
                    <w:jc w:val="center"/>
                    <w:rPr>
                      <w:rFonts w:ascii="宋体" w:hAnsi="宋体" w:cs="Arial"/>
                      <w:color w:val="333333"/>
                      <w:kern w:val="0"/>
                      <w:szCs w:val="21"/>
                    </w:rPr>
                  </w:pPr>
                  <w:r>
                    <w:rPr>
                      <w:rFonts w:hint="eastAsia" w:ascii="宋体" w:hAnsi="宋体" w:cs="Arial"/>
                      <w:color w:val="333333"/>
                      <w:kern w:val="0"/>
                      <w:szCs w:val="21"/>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7" w:hRule="atLeast"/>
              </w:trPr>
              <w:tc>
                <w:tcPr>
                  <w:tcW w:w="3759" w:type="dxa"/>
                  <w:vAlign w:val="center"/>
                </w:tcPr>
                <w:p>
                  <w:pPr>
                    <w:jc w:val="center"/>
                    <w:rPr>
                      <w:rFonts w:ascii="宋体" w:hAnsi="宋体" w:cs="Arial"/>
                      <w:b/>
                      <w:bCs/>
                      <w:color w:val="333333"/>
                      <w:kern w:val="0"/>
                      <w:szCs w:val="21"/>
                    </w:rPr>
                  </w:pPr>
                  <w:r>
                    <w:rPr>
                      <w:rFonts w:hint="eastAsia" w:ascii="宋体" w:hAnsi="宋体" w:cs="Arial"/>
                      <w:b/>
                      <w:bCs/>
                      <w:color w:val="333333"/>
                      <w:kern w:val="0"/>
                      <w:szCs w:val="21"/>
                    </w:rPr>
                    <w:t>交易各方合计</w:t>
                  </w:r>
                </w:p>
              </w:tc>
              <w:tc>
                <w:tcPr>
                  <w:tcW w:w="2161" w:type="dxa"/>
                  <w:vAlign w:val="center"/>
                </w:tcPr>
                <w:p>
                  <w:pPr>
                    <w:jc w:val="center"/>
                    <w:rPr>
                      <w:rFonts w:ascii="宋体" w:hAnsi="宋体" w:cs="Arial"/>
                      <w:b/>
                      <w:bCs/>
                      <w:color w:val="333333"/>
                      <w:kern w:val="0"/>
                      <w:szCs w:val="21"/>
                    </w:rPr>
                  </w:pPr>
                  <w:r>
                    <w:rPr>
                      <w:rFonts w:hint="eastAsia" w:ascii="宋体" w:hAnsi="宋体" w:cs="Arial"/>
                      <w:b/>
                      <w:bCs/>
                      <w:color w:val="333333"/>
                      <w:kern w:val="0"/>
                      <w:szCs w:val="21"/>
                    </w:rPr>
                    <w:t>[0-5]%</w:t>
                  </w:r>
                </w:p>
              </w:tc>
            </w:tr>
          </w:tbl>
          <w:p>
            <w:pPr>
              <w:jc w:val="center"/>
              <w:rPr>
                <w:rFonts w:cs="Arial"/>
                <w:sz w:val="22"/>
              </w:rPr>
            </w:pPr>
            <w:r>
              <w:rPr>
                <w:rFonts w:hint="eastAsia" w:ascii="宋体" w:hAnsi="宋体" w:cs="Arial"/>
                <w:color w:val="333333"/>
                <w:kern w:val="0"/>
                <w:szCs w:val="21"/>
              </w:rPr>
              <w:t>市场份额：</w:t>
            </w:r>
          </w:p>
        </w:tc>
      </w:tr>
    </w:tbl>
    <w:p>
      <w:pPr>
        <w:spacing w:line="360" w:lineRule="auto"/>
        <w:rPr>
          <w:rFonts w:ascii="Arial" w:hAnsi="Arial" w:cs="Arial"/>
          <w:sz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9060101010101"/>
    <w:charset w:val="86"/>
    <w:family w:val="modern"/>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仿宋_GB2312">
    <w:altName w:val="汉仪仿宋KW"/>
    <w:panose1 w:val="00000000000000000000"/>
    <w:charset w:val="86"/>
    <w:family w:val="modern"/>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MT Extra">
    <w:panose1 w:val="05050102010205020202"/>
    <w:charset w:val="00"/>
    <w:family w:val="auto"/>
    <w:pitch w:val="default"/>
    <w:sig w:usb0="80000000" w:usb1="00000000" w:usb2="00000000" w:usb3="00000000" w:csb0="00000000" w:csb1="00000000"/>
  </w:font>
  <w:font w:name="汉仪仿宋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NotTrackMoves/>
  <w:doNotTrackFormatting/>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27045"/>
    <w:rsid w:val="00037065"/>
    <w:rsid w:val="00084BBB"/>
    <w:rsid w:val="000C7A84"/>
    <w:rsid w:val="000D7EBA"/>
    <w:rsid w:val="001005F1"/>
    <w:rsid w:val="001164CD"/>
    <w:rsid w:val="00116B13"/>
    <w:rsid w:val="00131E96"/>
    <w:rsid w:val="00155717"/>
    <w:rsid w:val="001837A3"/>
    <w:rsid w:val="001D69E6"/>
    <w:rsid w:val="0028352E"/>
    <w:rsid w:val="002E66C0"/>
    <w:rsid w:val="002F51CC"/>
    <w:rsid w:val="0031428B"/>
    <w:rsid w:val="00320916"/>
    <w:rsid w:val="00362840"/>
    <w:rsid w:val="00367025"/>
    <w:rsid w:val="00383B88"/>
    <w:rsid w:val="003A1A0D"/>
    <w:rsid w:val="003B0ADE"/>
    <w:rsid w:val="003C0AEB"/>
    <w:rsid w:val="00403F9C"/>
    <w:rsid w:val="00421B89"/>
    <w:rsid w:val="00450E13"/>
    <w:rsid w:val="00496215"/>
    <w:rsid w:val="004B0947"/>
    <w:rsid w:val="004B51A2"/>
    <w:rsid w:val="004F7688"/>
    <w:rsid w:val="005220D4"/>
    <w:rsid w:val="005264E2"/>
    <w:rsid w:val="00545C06"/>
    <w:rsid w:val="00556F07"/>
    <w:rsid w:val="00577274"/>
    <w:rsid w:val="00584AFC"/>
    <w:rsid w:val="00597A15"/>
    <w:rsid w:val="00617946"/>
    <w:rsid w:val="006467D8"/>
    <w:rsid w:val="006A2CAF"/>
    <w:rsid w:val="006A531B"/>
    <w:rsid w:val="006B0EC4"/>
    <w:rsid w:val="006D7E1E"/>
    <w:rsid w:val="006F4DC8"/>
    <w:rsid w:val="006F7693"/>
    <w:rsid w:val="00710140"/>
    <w:rsid w:val="00737F83"/>
    <w:rsid w:val="007813FD"/>
    <w:rsid w:val="007F2275"/>
    <w:rsid w:val="007F3AE8"/>
    <w:rsid w:val="00866772"/>
    <w:rsid w:val="00912B09"/>
    <w:rsid w:val="00915F0F"/>
    <w:rsid w:val="009532DF"/>
    <w:rsid w:val="009915FC"/>
    <w:rsid w:val="00997019"/>
    <w:rsid w:val="009A5029"/>
    <w:rsid w:val="009D0CBB"/>
    <w:rsid w:val="009D38D5"/>
    <w:rsid w:val="00A418C0"/>
    <w:rsid w:val="00A51080"/>
    <w:rsid w:val="00A53F26"/>
    <w:rsid w:val="00A54140"/>
    <w:rsid w:val="00A577A0"/>
    <w:rsid w:val="00A64299"/>
    <w:rsid w:val="00AA0CC5"/>
    <w:rsid w:val="00AD1D4A"/>
    <w:rsid w:val="00AE25DE"/>
    <w:rsid w:val="00AF40B7"/>
    <w:rsid w:val="00B01468"/>
    <w:rsid w:val="00B16AFE"/>
    <w:rsid w:val="00B44189"/>
    <w:rsid w:val="00B445F2"/>
    <w:rsid w:val="00B65DD5"/>
    <w:rsid w:val="00BD10B6"/>
    <w:rsid w:val="00C07076"/>
    <w:rsid w:val="00C270C4"/>
    <w:rsid w:val="00C42AF9"/>
    <w:rsid w:val="00CA61C0"/>
    <w:rsid w:val="00CB00DF"/>
    <w:rsid w:val="00CD2BF9"/>
    <w:rsid w:val="00D33B98"/>
    <w:rsid w:val="00D52BEF"/>
    <w:rsid w:val="00D73C72"/>
    <w:rsid w:val="00DA7EFE"/>
    <w:rsid w:val="00DC40C6"/>
    <w:rsid w:val="00DF3D71"/>
    <w:rsid w:val="00E0592B"/>
    <w:rsid w:val="00E11B33"/>
    <w:rsid w:val="00E27E6F"/>
    <w:rsid w:val="00E31738"/>
    <w:rsid w:val="00E86786"/>
    <w:rsid w:val="00ED2F80"/>
    <w:rsid w:val="00F14512"/>
    <w:rsid w:val="00F1624E"/>
    <w:rsid w:val="00F32F8A"/>
    <w:rsid w:val="00F46685"/>
    <w:rsid w:val="00F6527E"/>
    <w:rsid w:val="00F75351"/>
    <w:rsid w:val="00F810AA"/>
    <w:rsid w:val="00F91B96"/>
    <w:rsid w:val="00FB43EC"/>
    <w:rsid w:val="00FB6B40"/>
    <w:rsid w:val="02C5089D"/>
    <w:rsid w:val="08670257"/>
    <w:rsid w:val="0A556FB3"/>
    <w:rsid w:val="138F1994"/>
    <w:rsid w:val="13DB2807"/>
    <w:rsid w:val="17393832"/>
    <w:rsid w:val="1CD636B1"/>
    <w:rsid w:val="2A0C0CAA"/>
    <w:rsid w:val="2AF90524"/>
    <w:rsid w:val="2F241771"/>
    <w:rsid w:val="30F46B4B"/>
    <w:rsid w:val="321F3B10"/>
    <w:rsid w:val="3652181B"/>
    <w:rsid w:val="366B33DE"/>
    <w:rsid w:val="36865C06"/>
    <w:rsid w:val="39D17A59"/>
    <w:rsid w:val="40B91A7B"/>
    <w:rsid w:val="4A794A93"/>
    <w:rsid w:val="4C2A784A"/>
    <w:rsid w:val="4D7664F7"/>
    <w:rsid w:val="50FD4742"/>
    <w:rsid w:val="51814236"/>
    <w:rsid w:val="52033E68"/>
    <w:rsid w:val="54ED1518"/>
    <w:rsid w:val="59754E00"/>
    <w:rsid w:val="5C6943F5"/>
    <w:rsid w:val="675E0A14"/>
    <w:rsid w:val="6B3C1464"/>
    <w:rsid w:val="73AB0080"/>
    <w:rsid w:val="74416BF6"/>
    <w:rsid w:val="792A32B3"/>
    <w:rsid w:val="7DB23807"/>
    <w:rsid w:val="BF757DAC"/>
    <w:rsid w:val="FF6FEF87"/>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link w:val="12"/>
    <w:unhideWhenUsed/>
    <w:qFormat/>
    <w:uiPriority w:val="0"/>
    <w:pPr>
      <w:spacing w:after="120"/>
    </w:pPr>
    <w:rPr>
      <w:rFonts w:ascii="Times New Roman" w:hAnsi="Times New Roman"/>
      <w:szCs w:val="24"/>
    </w:rPr>
  </w:style>
  <w:style w:type="paragraph" w:styleId="3">
    <w:name w:val="Balloon Text"/>
    <w:basedOn w:val="1"/>
    <w:link w:val="13"/>
    <w:unhideWhenUsed/>
    <w:qFormat/>
    <w:uiPriority w:val="99"/>
    <w:rPr>
      <w:sz w:val="18"/>
      <w:szCs w:val="18"/>
    </w:rPr>
  </w:style>
  <w:style w:type="paragraph" w:styleId="4">
    <w:name w:val="footer"/>
    <w:basedOn w:val="1"/>
    <w:link w:val="10"/>
    <w:unhideWhenUsed/>
    <w:qFormat/>
    <w:uiPriority w:val="99"/>
    <w:pPr>
      <w:tabs>
        <w:tab w:val="center" w:pos="4513"/>
        <w:tab w:val="right" w:pos="9026"/>
      </w:tabs>
    </w:pPr>
  </w:style>
  <w:style w:type="paragraph" w:styleId="5">
    <w:name w:val="header"/>
    <w:basedOn w:val="1"/>
    <w:link w:val="9"/>
    <w:unhideWhenUsed/>
    <w:qFormat/>
    <w:uiPriority w:val="99"/>
    <w:pPr>
      <w:tabs>
        <w:tab w:val="center" w:pos="4513"/>
        <w:tab w:val="right" w:pos="9026"/>
      </w:tabs>
    </w:p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6"/>
    <w:link w:val="5"/>
    <w:qFormat/>
    <w:uiPriority w:val="99"/>
    <w:rPr>
      <w:rFonts w:ascii="Calibri" w:hAnsi="Calibri" w:eastAsia="宋体" w:cs="Times New Roman"/>
    </w:rPr>
  </w:style>
  <w:style w:type="character" w:customStyle="1" w:styleId="10">
    <w:name w:val="页脚 字符"/>
    <w:basedOn w:val="6"/>
    <w:link w:val="4"/>
    <w:qFormat/>
    <w:uiPriority w:val="99"/>
    <w:rPr>
      <w:rFonts w:ascii="Calibri" w:hAnsi="Calibri" w:eastAsia="宋体" w:cs="Times New Roman"/>
    </w:rPr>
  </w:style>
  <w:style w:type="paragraph" w:customStyle="1" w:styleId="11">
    <w:name w:val="Body"/>
    <w:basedOn w:val="1"/>
    <w:qFormat/>
    <w:uiPriority w:val="0"/>
    <w:pPr>
      <w:widowControl/>
      <w:spacing w:after="140" w:line="290" w:lineRule="auto"/>
    </w:pPr>
    <w:rPr>
      <w:rFonts w:ascii="Arial" w:hAnsi="Arial"/>
      <w:kern w:val="20"/>
      <w:sz w:val="20"/>
      <w:szCs w:val="24"/>
      <w:lang w:val="en-GB" w:eastAsia="en-GB"/>
    </w:rPr>
  </w:style>
  <w:style w:type="character" w:customStyle="1" w:styleId="12">
    <w:name w:val="正文文本 字符"/>
    <w:basedOn w:val="6"/>
    <w:link w:val="2"/>
    <w:qFormat/>
    <w:uiPriority w:val="0"/>
    <w:rPr>
      <w:rFonts w:ascii="Times New Roman" w:hAnsi="Times New Roman" w:eastAsia="宋体" w:cs="Times New Roman"/>
      <w:szCs w:val="24"/>
    </w:rPr>
  </w:style>
  <w:style w:type="character" w:customStyle="1" w:styleId="13">
    <w:name w:val="批注框文本 字符"/>
    <w:basedOn w:val="6"/>
    <w:link w:val="3"/>
    <w:semiHidden/>
    <w:qFormat/>
    <w:uiPriority w:val="99"/>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256</Words>
  <Characters>1460</Characters>
  <Lines>12</Lines>
  <Paragraphs>3</Paragraphs>
  <ScaleCrop>false</ScaleCrop>
  <LinksUpToDate>false</LinksUpToDate>
  <CharactersWithSpaces>1713</CharactersWithSpaces>
  <Application>WPS Office_2.2.0.3563_F1E327BC-269C-435d-A152-05C5408002CA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2019-03-20T17:38:00Z</dcterms:created>
  <dc:creator>陈媚</dc:creator>
  <cp:lastModifiedBy>c</cp:lastModifiedBy>
  <cp:lastPrinted>2019-02-21T05:13:00Z</cp:lastPrinted>
  <dcterms:modified xsi:type="dcterms:W3CDTF">2021-01-06T08:39:36Z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Code">
    <vt:lpwstr/>
  </property>
  <property fmtid="{D5CDD505-2E9C-101B-9397-08002B2CF9AE}" pid="3" name="DEDocumentLocation">
    <vt:lpwstr>C:\Users\jjiang\Desktop\曼巴传\简易案件公示表.docx</vt:lpwstr>
  </property>
  <property fmtid="{D5CDD505-2E9C-101B-9397-08002B2CF9AE}" pid="4" name="Document Number">
    <vt:lpwstr/>
  </property>
  <property fmtid="{D5CDD505-2E9C-101B-9397-08002B2CF9AE}" pid="5" name="Last Modified">
    <vt:lpwstr/>
  </property>
  <property fmtid="{D5CDD505-2E9C-101B-9397-08002B2CF9AE}" pid="6" name="Matter Number">
    <vt:lpwstr/>
  </property>
  <property fmtid="{D5CDD505-2E9C-101B-9397-08002B2CF9AE}" pid="7" name="Mode">
    <vt:lpwstr>Export</vt:lpwstr>
  </property>
  <property fmtid="{D5CDD505-2E9C-101B-9397-08002B2CF9AE}" pid="8" name="Version">
    <vt:lpwstr/>
  </property>
  <property fmtid="{D5CDD505-2E9C-101B-9397-08002B2CF9AE}" pid="9" name="ObjectID">
    <vt:lpwstr/>
  </property>
  <property fmtid="{D5CDD505-2E9C-101B-9397-08002B2CF9AE}" pid="10" name="KSOProductBuildVer">
    <vt:lpwstr>2052-2.2.0.3563</vt:lpwstr>
  </property>
</Properties>
</file>