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"/>
        <w:rPr>
          <w:rFonts w:ascii="Times New Roman"/>
          <w:sz w:val="24"/>
        </w:rPr>
      </w:pPr>
    </w:p>
    <w:p>
      <w:pPr>
        <w:spacing w:before="58"/>
        <w:ind w:left="2632" w:right="2718" w:firstLine="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经营者集中简易案件公示表</w:t>
      </w:r>
    </w:p>
    <w:p>
      <w:pPr>
        <w:pStyle w:val="2"/>
        <w:rPr>
          <w:rFonts w:ascii="黑体"/>
          <w:sz w:val="20"/>
        </w:rPr>
      </w:pPr>
    </w:p>
    <w:tbl>
      <w:tblPr>
        <w:tblStyle w:val="4"/>
        <w:tblpPr w:leftFromText="180" w:rightFromText="180" w:vertAnchor="text" w:horzAnchor="page" w:tblpX="1710" w:tblpY="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384"/>
        <w:gridCol w:w="55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840" w:type="dxa"/>
            <w:shd w:val="clear" w:color="auto" w:fill="D9D9D9"/>
            <w:vAlign w:val="center"/>
          </w:tcPr>
          <w:p>
            <w:pPr>
              <w:pStyle w:val="8"/>
              <w:spacing w:before="181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案件名称</w:t>
            </w:r>
          </w:p>
        </w:tc>
        <w:tc>
          <w:tcPr>
            <w:tcW w:w="6918" w:type="dxa"/>
            <w:gridSpan w:val="2"/>
            <w:vAlign w:val="center"/>
          </w:tcPr>
          <w:p>
            <w:pPr>
              <w:pStyle w:val="8"/>
              <w:spacing w:before="1" w:line="500" w:lineRule="exact"/>
              <w:ind w:right="94"/>
              <w:jc w:val="center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eastAsia="宋体"/>
                <w:sz w:val="22"/>
              </w:rPr>
              <w:t>珠海华发物业管理服务有限公司与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深圳融创物业服务集团有限公司拟</w:t>
            </w:r>
            <w:r>
              <w:rPr>
                <w:rFonts w:hint="eastAsia" w:ascii="宋体" w:eastAsia="宋体"/>
                <w:sz w:val="22"/>
              </w:rPr>
              <w:t>新设合营企业案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840" w:type="dxa"/>
            <w:shd w:val="clear" w:color="auto" w:fill="D9D9D9"/>
            <w:vAlign w:val="center"/>
          </w:tcPr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pacing w:val="-30"/>
                <w:sz w:val="22"/>
              </w:rPr>
            </w:pPr>
            <w:r>
              <w:rPr>
                <w:b/>
                <w:bCs/>
                <w:spacing w:val="-30"/>
                <w:sz w:val="22"/>
              </w:rPr>
              <w:t>交易概况</w:t>
            </w:r>
          </w:p>
          <w:p>
            <w:pPr>
              <w:pStyle w:val="8"/>
              <w:spacing w:before="181" w:line="424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pacing w:val="-3"/>
                <w:sz w:val="22"/>
              </w:rPr>
              <w:t>（</w:t>
            </w:r>
            <w:r>
              <w:rPr>
                <w:b/>
                <w:bCs/>
                <w:spacing w:val="-27"/>
                <w:sz w:val="22"/>
              </w:rPr>
              <w:t xml:space="preserve">限 </w:t>
            </w:r>
            <w:r>
              <w:rPr>
                <w:b/>
                <w:bCs/>
                <w:spacing w:val="-5"/>
                <w:sz w:val="22"/>
              </w:rPr>
              <w:t xml:space="preserve">200 </w:t>
            </w:r>
            <w:r>
              <w:rPr>
                <w:b/>
                <w:bCs/>
                <w:spacing w:val="-2"/>
                <w:sz w:val="22"/>
              </w:rPr>
              <w:t>字内</w:t>
            </w:r>
            <w:r>
              <w:rPr>
                <w:b/>
                <w:bCs/>
                <w:sz w:val="22"/>
              </w:rPr>
              <w:t>）</w:t>
            </w:r>
          </w:p>
        </w:tc>
        <w:tc>
          <w:tcPr>
            <w:tcW w:w="6918" w:type="dxa"/>
            <w:gridSpan w:val="2"/>
          </w:tcPr>
          <w:p>
            <w:pPr>
              <w:pStyle w:val="8"/>
              <w:spacing w:before="181" w:line="424" w:lineRule="auto"/>
              <w:ind w:right="84"/>
              <w:jc w:val="both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hAnsi="宋体" w:eastAsia="宋体"/>
                <w:spacing w:val="-5"/>
                <w:sz w:val="22"/>
              </w:rPr>
              <w:t>珠海华发物业管理服务有限公司（“珠海华发物业”）与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深圳融创物业服务集团有限公司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（“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深圳融创物业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”）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拟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新设合营企业，合营企业主营业务首先为</w:t>
            </w:r>
            <w:r>
              <w:rPr>
                <w:rFonts w:hint="eastAsia" w:ascii="宋体" w:hAnsi="宋体" w:eastAsia="宋体"/>
                <w:spacing w:val="-5"/>
                <w:sz w:val="22"/>
                <w:lang w:val="en-US" w:eastAsia="zh-CN"/>
              </w:rPr>
              <w:t>双方关联公司共同开发建设的</w:t>
            </w:r>
            <w:r>
              <w:rPr>
                <w:rFonts w:hint="eastAsia" w:ascii="宋体" w:hAnsi="宋体" w:eastAsia="宋体"/>
                <w:spacing w:val="-5"/>
                <w:sz w:val="22"/>
              </w:rPr>
              <w:t>项目提供物业</w:t>
            </w:r>
            <w:r>
              <w:rPr>
                <w:rFonts w:hint="eastAsia" w:ascii="宋体" w:hAnsi="宋体" w:eastAsia="宋体"/>
                <w:spacing w:val="-11"/>
                <w:sz w:val="22"/>
              </w:rPr>
              <w:t>管理服务</w:t>
            </w:r>
            <w:r>
              <w:rPr>
                <w:rFonts w:hint="eastAsia" w:ascii="宋体" w:eastAsia="宋体"/>
                <w:sz w:val="22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40" w:type="dxa"/>
            <w:vMerge w:val="restart"/>
            <w:shd w:val="clear" w:color="auto" w:fill="D9D9D9"/>
            <w:vAlign w:val="center"/>
          </w:tcPr>
          <w:p>
            <w:pPr>
              <w:pStyle w:val="8"/>
              <w:spacing w:before="180" w:line="427" w:lineRule="auto"/>
              <w:ind w:left="107" w:right="95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参与集中的经营者简介</w:t>
            </w:r>
          </w:p>
        </w:tc>
        <w:tc>
          <w:tcPr>
            <w:tcW w:w="1384" w:type="dxa"/>
            <w:vAlign w:val="center"/>
          </w:tcPr>
          <w:p>
            <w:pPr>
              <w:pStyle w:val="8"/>
              <w:spacing w:before="180"/>
              <w:jc w:val="both"/>
              <w:rPr>
                <w:rFonts w:hint="eastAsia" w:asciiTheme="majorEastAsia" w:hAnsiTheme="majorEastAsia" w:eastAsiaTheme="majorEastAsia" w:cstheme="majorEastAsia"/>
                <w:sz w:val="22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1、珠海华发物业</w:t>
            </w:r>
          </w:p>
        </w:tc>
        <w:tc>
          <w:tcPr>
            <w:tcW w:w="5534" w:type="dxa"/>
            <w:vAlign w:val="center"/>
          </w:tcPr>
          <w:p>
            <w:pPr>
              <w:pStyle w:val="8"/>
              <w:spacing w:before="1" w:line="500" w:lineRule="atLeast"/>
              <w:ind w:left="107" w:right="96"/>
              <w:jc w:val="both"/>
              <w:rPr>
                <w:rFonts w:hint="eastAsia" w:ascii="宋体" w:eastAsia="宋体"/>
                <w:sz w:val="22"/>
              </w:rPr>
            </w:pPr>
            <w:r>
              <w:rPr>
                <w:rFonts w:hint="eastAsia" w:ascii="宋体" w:eastAsia="宋体"/>
                <w:sz w:val="22"/>
              </w:rPr>
              <w:t>珠海华发物业是珠海华发集团有限公司的全资子公司，国家一级资质物业管理企业。公司业务范围包括承接物业管理服务及咨询等。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1840" w:type="dxa"/>
            <w:vMerge w:val="continue"/>
            <w:tcBorders>
              <w:top w:val="nil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1384" w:type="dxa"/>
            <w:vAlign w:val="center"/>
          </w:tcPr>
          <w:p>
            <w:pPr>
              <w:pStyle w:val="8"/>
              <w:spacing w:before="182" w:line="424" w:lineRule="auto"/>
              <w:ind w:right="93"/>
              <w:jc w:val="both"/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2、</w:t>
            </w:r>
            <w:r>
              <w:rPr>
                <w:rFonts w:hint="eastAsia" w:asciiTheme="majorEastAsia" w:hAnsiTheme="majorEastAsia" w:eastAsiaTheme="majorEastAsia" w:cstheme="majorEastAsia"/>
                <w:sz w:val="22"/>
                <w:lang w:val="en-US" w:eastAsia="zh-CN"/>
              </w:rPr>
              <w:t>深圳融创物业</w:t>
            </w:r>
          </w:p>
        </w:tc>
        <w:tc>
          <w:tcPr>
            <w:tcW w:w="5534" w:type="dxa"/>
            <w:vAlign w:val="center"/>
          </w:tcPr>
          <w:p>
            <w:pPr>
              <w:pStyle w:val="8"/>
              <w:spacing w:before="2" w:line="500" w:lineRule="exact"/>
              <w:ind w:left="107" w:right="96"/>
              <w:jc w:val="both"/>
              <w:rPr>
                <w:rFonts w:hint="eastAsia" w:ascii="宋体" w:eastAsia="仿宋"/>
                <w:sz w:val="22"/>
                <w:lang w:eastAsia="zh-CN"/>
              </w:rPr>
            </w:pPr>
            <w:r>
              <w:rPr>
                <w:rFonts w:hint="eastAsia" w:ascii="宋体" w:eastAsia="宋体"/>
                <w:sz w:val="22"/>
              </w:rPr>
              <w:t>20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19</w:t>
            </w:r>
            <w:r>
              <w:rPr>
                <w:rFonts w:hint="eastAsia" w:ascii="宋体" w:eastAsia="宋体"/>
                <w:sz w:val="22"/>
              </w:rPr>
              <w:t>年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12</w:t>
            </w:r>
            <w:r>
              <w:rPr>
                <w:rFonts w:hint="eastAsia" w:ascii="宋体" w:eastAsia="宋体"/>
                <w:sz w:val="22"/>
              </w:rPr>
              <w:t>月</w:t>
            </w:r>
            <w:r>
              <w:rPr>
                <w:rFonts w:hint="eastAsia" w:ascii="宋体" w:eastAsia="宋体"/>
                <w:sz w:val="22"/>
                <w:lang w:val="en-US" w:eastAsia="zh-CN"/>
              </w:rPr>
              <w:t>12</w:t>
            </w:r>
            <w:r>
              <w:rPr>
                <w:rFonts w:hint="eastAsia" w:ascii="宋体" w:eastAsia="宋体"/>
                <w:sz w:val="22"/>
              </w:rPr>
              <w:t>日</w:t>
            </w:r>
            <w:r>
              <w:rPr>
                <w:rFonts w:hint="eastAsia" w:ascii="宋体" w:eastAsia="宋体"/>
                <w:sz w:val="22"/>
                <w:lang w:eastAsia="zh-CN"/>
              </w:rPr>
              <w:t>深圳融创物业服务集团有限公司</w:t>
            </w:r>
            <w:r>
              <w:rPr>
                <w:rFonts w:hint="eastAsia" w:ascii="宋体" w:eastAsia="宋体"/>
                <w:sz w:val="22"/>
              </w:rPr>
              <w:t>设立完毕</w:t>
            </w:r>
            <w:r>
              <w:rPr>
                <w:rFonts w:hint="eastAsia" w:ascii="宋体" w:eastAsia="宋体"/>
                <w:sz w:val="22"/>
                <w:lang w:eastAsia="zh-CN"/>
              </w:rPr>
              <w:t>，</w:t>
            </w:r>
            <w:r>
              <w:rPr>
                <w:rFonts w:hint="eastAsia" w:ascii="宋体" w:eastAsia="宋体"/>
                <w:sz w:val="22"/>
              </w:rPr>
              <w:t>融创物业服务集团有限公司持有</w:t>
            </w:r>
            <w:r>
              <w:rPr>
                <w:rFonts w:hint="eastAsia" w:ascii="宋体" w:eastAsia="宋体"/>
                <w:sz w:val="22"/>
                <w:lang w:eastAsia="zh-CN"/>
              </w:rPr>
              <w:t>深圳融创物业服务集团有限公司</w:t>
            </w:r>
            <w:r>
              <w:rPr>
                <w:rFonts w:hint="eastAsia" w:ascii="宋体" w:eastAsia="宋体"/>
                <w:sz w:val="22"/>
              </w:rPr>
              <w:t>100%股权</w:t>
            </w:r>
            <w:r>
              <w:rPr>
                <w:rFonts w:hint="eastAsia" w:ascii="宋体" w:eastAsia="宋体"/>
                <w:sz w:val="22"/>
                <w:lang w:eastAsia="zh-CN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restart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8"/>
              <w:spacing w:before="179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简易案件理由</w:t>
            </w:r>
          </w:p>
          <w:p>
            <w:pPr>
              <w:pStyle w:val="8"/>
              <w:ind w:left="0"/>
              <w:jc w:val="center"/>
              <w:rPr>
                <w:rFonts w:ascii="黑体"/>
                <w:b/>
                <w:bCs/>
                <w:sz w:val="17"/>
              </w:rPr>
            </w:pPr>
          </w:p>
          <w:p>
            <w:pPr>
              <w:pStyle w:val="8"/>
              <w:ind w:left="107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（可多选）</w:t>
            </w:r>
          </w:p>
        </w:tc>
        <w:tc>
          <w:tcPr>
            <w:tcW w:w="6918" w:type="dxa"/>
            <w:gridSpan w:val="2"/>
            <w:tcBorders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142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sym w:font="Wingdings" w:char="00A8"/>
            </w:r>
            <w:r>
              <w:rPr>
                <w:sz w:val="22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6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t></w:t>
            </w:r>
            <w:r>
              <w:rPr>
                <w:sz w:val="22"/>
              </w:rPr>
              <w:t>2、存在上下游关系的参与集中的经营者，在上下游市场所占的市场份额均小于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78"/>
              <w:jc w:val="left"/>
              <w:rPr>
                <w:sz w:val="22"/>
              </w:rPr>
            </w:pPr>
            <w:r>
              <w:rPr>
                <w:rFonts w:ascii="Wingdings" w:hAnsi="Wingdings" w:eastAsia="Wingdings"/>
                <w:sz w:val="22"/>
              </w:rPr>
              <w:t></w:t>
            </w:r>
            <w:bookmarkStart w:id="0" w:name="_GoBack"/>
            <w:bookmarkEnd w:id="0"/>
            <w:r>
              <w:rPr>
                <w:sz w:val="22"/>
              </w:rPr>
              <w:t>3、不在同一相关市场、也不存在上下游关系的参与集中的经营者，</w:t>
            </w:r>
          </w:p>
          <w:p>
            <w:pPr>
              <w:pStyle w:val="8"/>
              <w:spacing w:before="1"/>
              <w:ind w:left="0"/>
              <w:jc w:val="left"/>
              <w:rPr>
                <w:rFonts w:ascii="黑体"/>
                <w:sz w:val="17"/>
              </w:rPr>
            </w:pPr>
          </w:p>
          <w:p>
            <w:pPr>
              <w:pStyle w:val="8"/>
              <w:spacing w:before="1"/>
              <w:jc w:val="left"/>
              <w:rPr>
                <w:sz w:val="22"/>
              </w:rPr>
            </w:pPr>
            <w:r>
              <w:rPr>
                <w:sz w:val="22"/>
              </w:rPr>
              <w:t>在与交易有关的每个市场所占的份额均小于 25%。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80"/>
              <w:jc w:val="left"/>
              <w:rPr>
                <w:sz w:val="22"/>
              </w:rPr>
            </w:pPr>
            <w:r>
              <w:rPr>
                <w:sz w:val="22"/>
              </w:rPr>
              <w:t>□4、参与集中的经营者在中国境外设立合营企业，合营企业不在中国</w:t>
            </w:r>
          </w:p>
          <w:p>
            <w:pPr>
              <w:pStyle w:val="8"/>
              <w:spacing w:before="2"/>
              <w:ind w:left="0"/>
              <w:jc w:val="left"/>
              <w:rPr>
                <w:rFonts w:ascii="黑体"/>
                <w:sz w:val="17"/>
              </w:rPr>
            </w:pPr>
          </w:p>
          <w:p>
            <w:pPr>
              <w:pStyle w:val="8"/>
              <w:jc w:val="left"/>
              <w:rPr>
                <w:sz w:val="22"/>
              </w:rPr>
            </w:pPr>
            <w:r>
              <w:rPr>
                <w:sz w:val="22"/>
              </w:rPr>
              <w:t>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before="1" w:line="500" w:lineRule="exact"/>
              <w:ind w:right="94"/>
              <w:jc w:val="left"/>
              <w:rPr>
                <w:sz w:val="22"/>
              </w:rPr>
            </w:pPr>
            <w:r>
              <w:rPr>
                <w:sz w:val="22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4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</w:tc>
        <w:tc>
          <w:tcPr>
            <w:tcW w:w="6918" w:type="dxa"/>
            <w:gridSpan w:val="2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>
            <w:pPr>
              <w:pStyle w:val="8"/>
              <w:spacing w:line="500" w:lineRule="exact"/>
              <w:ind w:right="94"/>
              <w:jc w:val="left"/>
              <w:rPr>
                <w:sz w:val="22"/>
              </w:rPr>
            </w:pPr>
            <w:r>
              <w:rPr>
                <w:sz w:val="22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840" w:type="dxa"/>
            <w:tcBorders>
              <w:top w:val="single" w:color="000000" w:sz="4" w:space="0"/>
            </w:tcBorders>
            <w:shd w:val="clear" w:color="auto" w:fill="D9D9D9"/>
            <w:vAlign w:val="center"/>
          </w:tcPr>
          <w:p>
            <w:pPr>
              <w:jc w:val="center"/>
              <w:rPr>
                <w:b/>
                <w:bCs/>
                <w:sz w:val="2"/>
                <w:szCs w:val="2"/>
              </w:rPr>
            </w:pPr>
          </w:p>
          <w:p>
            <w:pPr>
              <w:bidi w:val="0"/>
              <w:jc w:val="center"/>
              <w:rPr>
                <w:rFonts w:ascii="宋体" w:hAnsi="宋体" w:eastAsia="宋体" w:cs="宋体"/>
                <w:b/>
                <w:bCs/>
                <w:sz w:val="22"/>
                <w:szCs w:val="22"/>
                <w:lang w:val="zh-CN" w:eastAsia="zh-CN" w:bidi="zh-CN"/>
              </w:rPr>
            </w:pPr>
          </w:p>
          <w:p>
            <w:pPr>
              <w:bidi w:val="0"/>
              <w:jc w:val="center"/>
              <w:rPr>
                <w:b/>
                <w:bCs/>
                <w:lang w:val="zh-CN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  <w:tc>
          <w:tcPr>
            <w:tcW w:w="6918" w:type="dxa"/>
            <w:gridSpan w:val="2"/>
            <w:tcBorders>
              <w:top w:val="single" w:color="000000" w:sz="4" w:space="0"/>
            </w:tcBorders>
          </w:tcPr>
          <w:p>
            <w:pPr>
              <w:pStyle w:val="8"/>
              <w:spacing w:line="500" w:lineRule="exact"/>
              <w:ind w:right="94"/>
              <w:rPr>
                <w:sz w:val="22"/>
              </w:rPr>
            </w:pPr>
          </w:p>
          <w:p>
            <w:pPr>
              <w:pStyle w:val="8"/>
              <w:spacing w:line="500" w:lineRule="exact"/>
              <w:ind w:right="94"/>
              <w:rPr>
                <w:sz w:val="22"/>
              </w:rPr>
            </w:pP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相关商品市场：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住宅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物业管理服务市场；相关地域市场：市级市场， 即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深圳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市</w:t>
            </w:r>
            <w:r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年集中各方在相关市场的市场份额：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right="0" w:rightChars="0"/>
              <w:jc w:val="left"/>
              <w:rPr>
                <w:rFonts w:hint="eastAsia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  <w:tbl>
            <w:tblPr>
              <w:tblStyle w:val="4"/>
              <w:tblpPr w:leftFromText="180" w:rightFromText="180" w:vertAnchor="page" w:horzAnchor="page" w:tblpX="274" w:tblpY="1796"/>
              <w:tblOverlap w:val="never"/>
              <w:tblW w:w="6543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89"/>
              <w:gridCol w:w="4254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4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37"/>
                    <w:ind w:left="243" w:right="228"/>
                    <w:jc w:val="center"/>
                    <w:rPr>
                      <w:rFonts w:hint="eastAsia" w:ascii="宋体" w:eastAsia="宋体"/>
                      <w:b/>
                      <w:sz w:val="22"/>
                    </w:rPr>
                  </w:pPr>
                  <w:r>
                    <w:rPr>
                      <w:rFonts w:hint="eastAsia" w:ascii="宋体" w:eastAsia="宋体"/>
                      <w:b/>
                      <w:sz w:val="22"/>
                    </w:rPr>
                    <w:t>参与集中的经营者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37"/>
                    <w:ind w:left="793" w:right="775"/>
                    <w:jc w:val="center"/>
                    <w:rPr>
                      <w:rFonts w:hint="eastAsia" w:ascii="宋体" w:eastAsia="宋体"/>
                      <w:b/>
                      <w:sz w:val="22"/>
                    </w:rPr>
                  </w:pPr>
                  <w:r>
                    <w:rPr>
                      <w:rFonts w:hint="eastAsia" w:ascii="宋体" w:eastAsia="宋体"/>
                      <w:b/>
                      <w:sz w:val="22"/>
                      <w:lang w:val="en-US" w:eastAsia="zh-CN"/>
                    </w:rPr>
                    <w:t>住宅</w:t>
                  </w:r>
                  <w:r>
                    <w:rPr>
                      <w:rFonts w:hint="eastAsia" w:ascii="宋体" w:eastAsia="宋体"/>
                      <w:b/>
                      <w:sz w:val="22"/>
                    </w:rPr>
                    <w:t>物业管理服务市场份额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4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37"/>
                    <w:ind w:left="234" w:right="228"/>
                    <w:jc w:val="center"/>
                    <w:rPr>
                      <w:rFonts w:hint="eastAsia" w:ascii="宋体" w:eastAsia="宋体"/>
                      <w:sz w:val="22"/>
                      <w:lang w:eastAsia="zh-CN"/>
                    </w:rPr>
                  </w:pPr>
                  <w:r>
                    <w:rPr>
                      <w:rFonts w:hint="eastAsia" w:ascii="宋体" w:eastAsia="宋体"/>
                      <w:sz w:val="22"/>
                      <w:lang w:val="en-US" w:eastAsia="zh-CN"/>
                    </w:rPr>
                    <w:t>深圳融创物业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50"/>
                    <w:ind w:left="787" w:right="775"/>
                    <w:jc w:val="center"/>
                    <w:rPr>
                      <w:rFonts w:ascii="Times New Roman"/>
                      <w:sz w:val="22"/>
                    </w:rPr>
                  </w:pPr>
                  <w:r>
                    <w:rPr>
                      <w:rFonts w:ascii="Times New Roman"/>
                      <w:sz w:val="22"/>
                    </w:rPr>
                    <w:t>[</w:t>
                  </w:r>
                  <w:r>
                    <w:rPr>
                      <w:rFonts w:hint="eastAsia" w:ascii="Times New Roman"/>
                      <w:sz w:val="22"/>
                      <w:lang w:val="en-US" w:eastAsia="zh-CN"/>
                    </w:rPr>
                    <w:t>0</w:t>
                  </w:r>
                  <w:r>
                    <w:rPr>
                      <w:rFonts w:ascii="Times New Roman"/>
                      <w:sz w:val="22"/>
                    </w:rPr>
                    <w:t>%]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76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149"/>
                    <w:ind w:left="234" w:right="228"/>
                    <w:jc w:val="center"/>
                    <w:rPr>
                      <w:rFonts w:hint="eastAsia" w:ascii="宋体" w:eastAsia="宋体"/>
                      <w:sz w:val="22"/>
                    </w:rPr>
                  </w:pPr>
                  <w:r>
                    <w:rPr>
                      <w:rFonts w:hint="eastAsia" w:ascii="宋体" w:eastAsia="宋体"/>
                      <w:sz w:val="22"/>
                    </w:rPr>
                    <w:t>珠海华发物业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161"/>
                    <w:ind w:left="787" w:right="775"/>
                    <w:jc w:val="center"/>
                    <w:rPr>
                      <w:rFonts w:ascii="Times New Roman"/>
                      <w:sz w:val="22"/>
                    </w:rPr>
                  </w:pPr>
                  <w:r>
                    <w:drawing>
                      <wp:anchor distT="0" distB="0" distL="114300" distR="114300" simplePos="0" relativeHeight="251659264" behindDoc="1" locked="0" layoutInCell="1" allowOverlap="1">
                        <wp:simplePos x="0" y="0"/>
                        <wp:positionH relativeFrom="column">
                          <wp:posOffset>1637030</wp:posOffset>
                        </wp:positionH>
                        <wp:positionV relativeFrom="paragraph">
                          <wp:posOffset>313055</wp:posOffset>
                        </wp:positionV>
                        <wp:extent cx="1574800" cy="1605915"/>
                        <wp:effectExtent l="0" t="0" r="6350" b="13335"/>
                        <wp:wrapNone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rcRect l="27608" t="5646" r="24745" b="184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16059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1270000" dist="50800" dir="5400000" algn="ctr" rotWithShape="0">
                                    <a:srgbClr val="000000">
                                      <a:alpha val="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Times New Roman"/>
                      <w:sz w:val="22"/>
                    </w:rPr>
                    <w:t>[</w:t>
                  </w:r>
                  <w:r>
                    <w:rPr>
                      <w:rFonts w:hint="eastAsia" w:ascii="Times New Roman"/>
                      <w:sz w:val="22"/>
                      <w:lang w:val="en-US" w:eastAsia="zh-CN"/>
                    </w:rPr>
                    <w:t>0</w:t>
                  </w:r>
                  <w:r>
                    <w:rPr>
                      <w:rFonts w:ascii="Times New Roman"/>
                      <w:sz w:val="22"/>
                    </w:rPr>
                    <w:t>%]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8" w:hRule="atLeast"/>
              </w:trPr>
              <w:tc>
                <w:tcPr>
                  <w:tcW w:w="2289" w:type="dxa"/>
                </w:tcPr>
                <w:p>
                  <w:pPr>
                    <w:pStyle w:val="8"/>
                    <w:spacing w:before="154"/>
                    <w:ind w:left="239" w:right="228"/>
                    <w:jc w:val="center"/>
                    <w:rPr>
                      <w:rFonts w:hint="eastAsia" w:ascii="宋体" w:eastAsia="宋体"/>
                      <w:b/>
                      <w:sz w:val="22"/>
                    </w:rPr>
                  </w:pPr>
                  <w:r>
                    <w:rPr>
                      <w:rFonts w:hint="eastAsia" w:ascii="宋体" w:eastAsia="宋体"/>
                      <w:b/>
                      <w:sz w:val="22"/>
                    </w:rPr>
                    <w:t>合计</w:t>
                  </w:r>
                </w:p>
              </w:tc>
              <w:tc>
                <w:tcPr>
                  <w:tcW w:w="4254" w:type="dxa"/>
                </w:tcPr>
                <w:p>
                  <w:pPr>
                    <w:pStyle w:val="8"/>
                    <w:spacing w:before="167"/>
                    <w:ind w:left="787" w:right="775"/>
                    <w:jc w:val="center"/>
                    <w:rPr>
                      <w:rFonts w:ascii="Times New Roman"/>
                      <w:sz w:val="22"/>
                    </w:rPr>
                  </w:pPr>
                  <w:r>
                    <w:rPr>
                      <w:rFonts w:ascii="Times New Roman"/>
                      <w:sz w:val="22"/>
                    </w:rPr>
                    <w:t>[</w:t>
                  </w:r>
                  <w:r>
                    <w:rPr>
                      <w:rFonts w:hint="eastAsia" w:ascii="Times New Roman"/>
                      <w:sz w:val="22"/>
                      <w:lang w:val="en-US" w:eastAsia="zh-CN"/>
                    </w:rPr>
                    <w:t>0</w:t>
                  </w:r>
                  <w:r>
                    <w:rPr>
                      <w:rFonts w:ascii="Times New Roman"/>
                      <w:sz w:val="22"/>
                    </w:rPr>
                    <w:t>%]</w:t>
                  </w:r>
                </w:p>
              </w:tc>
            </w:tr>
          </w:tbl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  <w:p>
            <w:pPr>
              <w:pStyle w:val="8"/>
              <w:spacing w:line="500" w:lineRule="exact"/>
              <w:ind w:left="0" w:leftChars="0" w:right="94" w:firstLine="0" w:firstLineChars="0"/>
              <w:rPr>
                <w:sz w:val="22"/>
              </w:rPr>
            </w:pPr>
          </w:p>
        </w:tc>
      </w:tr>
    </w:tbl>
    <w:p>
      <w:pPr>
        <w:pStyle w:val="2"/>
        <w:spacing w:before="7"/>
        <w:rPr>
          <w:rFonts w:ascii="黑体"/>
          <w:sz w:val="14"/>
        </w:rPr>
      </w:pPr>
    </w:p>
    <w:p/>
    <w:p/>
    <w:sectPr>
      <w:footerReference r:id="rId3" w:type="default"/>
      <w:pgSz w:w="11910" w:h="16840"/>
      <w:pgMar w:top="1420" w:right="1340" w:bottom="1380" w:left="1580" w:header="0" w:footer="119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D67B11F"/>
    <w:multiLevelType w:val="singleLevel"/>
    <w:tmpl w:val="ED67B11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1EF0E4B"/>
    <w:rsid w:val="03FE546B"/>
    <w:rsid w:val="0E450BFF"/>
    <w:rsid w:val="1DA24F58"/>
    <w:rsid w:val="23DD0B65"/>
    <w:rsid w:val="26FB5A88"/>
    <w:rsid w:val="2A9D06B5"/>
    <w:rsid w:val="3C0A2344"/>
    <w:rsid w:val="4F24005D"/>
    <w:rsid w:val="520A02BE"/>
    <w:rsid w:val="53EE1523"/>
    <w:rsid w:val="582F267B"/>
    <w:rsid w:val="5E52321E"/>
    <w:rsid w:val="5E66717C"/>
    <w:rsid w:val="6369451C"/>
    <w:rsid w:val="6C1605EB"/>
    <w:rsid w:val="725D7DB0"/>
    <w:rsid w:val="7A4061ED"/>
    <w:rsid w:val="7EF12A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zh-CN" w:eastAsia="zh-CN" w:bidi="zh-CN"/>
    </w:rPr>
  </w:style>
  <w:style w:type="paragraph" w:customStyle="1" w:styleId="8">
    <w:name w:val="Table Paragraph"/>
    <w:basedOn w:val="1"/>
    <w:qFormat/>
    <w:uiPriority w:val="1"/>
    <w:pPr>
      <w:ind w:left="108"/>
    </w:pPr>
    <w:rPr>
      <w:rFonts w:ascii="仿宋" w:hAnsi="仿宋" w:eastAsia="仿宋" w:cs="仿宋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2021-02-03T08:09:00Z</dcterms:created>
  <dc:creator>dell</dc:creator>
  <cp:lastModifiedBy>然</cp:lastModifiedBy>
  <cp:lastPrinted>2021-03-17T08:43:00Z</cp:lastPrinted>
  <dcterms:modified xsi:type="dcterms:W3CDTF">2021-03-22T08:30:44Z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2021-02-03T00:00:00Z</vt:filetime>
  </property>
  <property fmtid="{D5CDD505-2E9C-101B-9397-08002B2CF9AE}" pid="5" name="KSOProductBuildVer">
    <vt:lpwstr>2052-11.1.0.10314</vt:lpwstr>
  </property>
  <property fmtid="{D5CDD505-2E9C-101B-9397-08002B2CF9AE}" pid="6" name="ICV">
    <vt:lpwstr>AB0FA64DCBB6486AB2A63643B908ADEC</vt:lpwstr>
  </property>
</Properties>
</file>