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EC1B1" w14:textId="1844A919" w:rsidR="00CB00DF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786F0A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4B6BAAA8" w14:textId="77777777" w:rsidR="00246CC5" w:rsidRPr="00786F0A" w:rsidRDefault="00246CC5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86F0A" w:rsidRPr="00786F0A" w14:paraId="70DC7D74" w14:textId="77777777" w:rsidTr="00CB00DF">
        <w:tc>
          <w:tcPr>
            <w:tcW w:w="1809" w:type="dxa"/>
            <w:shd w:val="clear" w:color="auto" w:fill="D9D9D9"/>
            <w:vAlign w:val="center"/>
          </w:tcPr>
          <w:p w14:paraId="52DB13A1" w14:textId="77777777" w:rsid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  <w:p w14:paraId="62645A1B" w14:textId="168F3706" w:rsidR="00A240B8" w:rsidRPr="00786F0A" w:rsidRDefault="00A240B8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EE1A0A4" w14:textId="07F8AAC0" w:rsidR="00A240B8" w:rsidRPr="00786F0A" w:rsidRDefault="003C3ABD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3C3AB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TVEL股份有限公司收购RM 20222 Vermögensverwaltungs 有限责任公司股权案</w:t>
            </w:r>
          </w:p>
        </w:tc>
      </w:tr>
      <w:tr w:rsidR="00786F0A" w:rsidRPr="00786F0A" w14:paraId="569D0859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55C5CF17" w14:textId="77777777" w:rsidR="00F1624E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0A67A40" w14:textId="68629CCE" w:rsidR="00A240B8" w:rsidRPr="00786F0A" w:rsidRDefault="00CB00DF" w:rsidP="009524E8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7AACB0D8" w14:textId="05165585" w:rsidR="00A240B8" w:rsidRPr="00A240B8" w:rsidRDefault="00A1761C" w:rsidP="009524E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2021年1月21日，</w:t>
            </w:r>
            <w:r w:rsidR="006A2C8E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法马通</w:t>
            </w:r>
            <w:r w:rsidR="001E2A2E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股份有限公司（“法马通”）</w:t>
            </w: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和TVEL</w:t>
            </w:r>
            <w:r w:rsidR="001E2A2E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股份有限公司</w:t>
            </w:r>
            <w:r w:rsidR="00B32E2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（“TVEL”）</w:t>
            </w: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签订了关于出售和转让</w:t>
            </w:r>
            <w:r w:rsidR="001E2A2E"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RM 20222 Vermögensverwaltungs GmbH（“目标公司”）</w:t>
            </w: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25%股份的协议。</w:t>
            </w:r>
            <w:r w:rsidR="00B32E2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交易完成后，</w:t>
            </w:r>
            <w:r w:rsidR="006A2C8E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法马通</w:t>
            </w: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将持有目标公司75%的股份</w:t>
            </w:r>
            <w:r w:rsidR="00B32E2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，TVEL将持有目标公司25%的股份</w:t>
            </w: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9C6F8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目标</w:t>
            </w: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公司将更名为European Hexagonal Fuel GmbH</w:t>
            </w:r>
            <w:r w:rsidR="0057346F"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57346F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（“合资公司”）</w:t>
            </w: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57346F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合资</w:t>
            </w: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公司将受</w:t>
            </w:r>
            <w:r w:rsidR="00B32E2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法马通和</w:t>
            </w: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TVEL的共同控制。</w:t>
            </w:r>
          </w:p>
          <w:p w14:paraId="2DACBB5F" w14:textId="6E218955" w:rsidR="0057346F" w:rsidRPr="00786F0A" w:rsidRDefault="00A1761C" w:rsidP="009524E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合资公司的唯一目的是生产VVER-1000</w:t>
            </w:r>
            <w:r w:rsidR="006A2C8E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型</w:t>
            </w: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核</w:t>
            </w:r>
            <w:r w:rsidR="006A2C8E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反应堆</w:t>
            </w: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燃料组件</w:t>
            </w:r>
            <w:r w:rsidR="00340D9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9524E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使用为欧盟和乌克兰市场的某种特定</w:t>
            </w:r>
            <w:r w:rsidR="006A2C8E" w:rsidRPr="006A2C8E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技术</w:t>
            </w:r>
            <w:r w:rsidR="00340D9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并供</w:t>
            </w:r>
            <w:r w:rsidR="006A2C8E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法马通</w:t>
            </w:r>
            <w:r w:rsidRPr="00A1761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和TVEL出售和供应给欧盟和乌克兰境内的最终客户（核电站运营商），但不会销售或供应给其他地区的客户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01636" w:rsidRPr="00786F0A" w14:paraId="29CE7596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1561A31" w14:textId="77777777" w:rsidR="00701636" w:rsidRPr="00786F0A" w:rsidRDefault="00701636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35A3FFE8" w14:textId="77777777" w:rsidR="00701636" w:rsidRDefault="00701636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  <w:p w14:paraId="3F37BE2A" w14:textId="09C32337" w:rsidR="0057346F" w:rsidRPr="00786F0A" w:rsidRDefault="0057346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8872E78" w14:textId="2535DBFF" w:rsidR="00701636" w:rsidRPr="00786F0A" w:rsidRDefault="00701636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9C6F8D" w:rsidRPr="009C6F8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法马通股份有限公司(Framatome SAS)</w:t>
            </w:r>
          </w:p>
        </w:tc>
        <w:tc>
          <w:tcPr>
            <w:tcW w:w="5153" w:type="dxa"/>
          </w:tcPr>
          <w:p w14:paraId="1E1350D3" w14:textId="05FA3B94" w:rsidR="00AB32FB" w:rsidRDefault="009C6F8D" w:rsidP="001E2A2E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C6F8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法马通股份有限公司(Framatome SAS)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B32E2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法马通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2D5DA7" w:rsidRPr="002D5DA7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股东为法国电力公司</w:t>
            </w:r>
            <w:r w:rsidR="00A740F8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（“法国电力”）</w:t>
            </w:r>
            <w:r w:rsidR="002D5DA7" w:rsidRPr="002D5DA7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（75.5%）、三菱重工业株式会社（19.5%）和艾西斯腾技术咨询公司（5%）。法国电力公司83.68%的股份由法兰西共和国所有。</w:t>
            </w:r>
            <w:r w:rsidR="00B32E20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法马通</w:t>
            </w:r>
            <w:r w:rsidR="00AB32FB" w:rsidRPr="00AB32F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积极从事核电站和核燃料的设计和建造，并提供与这些业务有关的系统和服务。</w:t>
            </w:r>
          </w:p>
          <w:p w14:paraId="550E89EF" w14:textId="6F489E36" w:rsidR="002D5DA7" w:rsidRPr="00786F0A" w:rsidRDefault="00A740F8" w:rsidP="00AB32FB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法国电力</w:t>
            </w:r>
            <w:r w:rsidR="00AB32FB" w:rsidRPr="00AB32F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主要活跃于发电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和批发</w:t>
            </w:r>
            <w:r w:rsidR="00AB32FB" w:rsidRPr="00AB32F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211A43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输电、</w:t>
            </w:r>
            <w:r w:rsidR="00AB32FB" w:rsidRPr="00AB32F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配电和供电行业的各个领域。此外，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法国电力</w:t>
            </w:r>
            <w:r w:rsidR="00AB32FB" w:rsidRPr="00AB32F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的业务还包括天然气、发电厂和电力网络的建设、运营和维护，以及提供废物管理和街道照明的服务。</w:t>
            </w:r>
            <w:r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法国电力</w:t>
            </w:r>
            <w:r w:rsidR="00AB32FB" w:rsidRPr="00AB32FB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在法国和英国运营核电站。</w:t>
            </w:r>
          </w:p>
        </w:tc>
      </w:tr>
      <w:tr w:rsidR="00C26B2F" w:rsidRPr="00786F0A" w14:paraId="16AD54A4" w14:textId="77777777" w:rsidTr="00B22101">
        <w:trPr>
          <w:trHeight w:val="4136"/>
        </w:trPr>
        <w:tc>
          <w:tcPr>
            <w:tcW w:w="1809" w:type="dxa"/>
            <w:vMerge/>
            <w:shd w:val="clear" w:color="auto" w:fill="D9D9D9"/>
            <w:vAlign w:val="center"/>
          </w:tcPr>
          <w:p w14:paraId="7081B436" w14:textId="77777777" w:rsidR="00C26B2F" w:rsidRPr="00786F0A" w:rsidRDefault="00C26B2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3AEB68B7" w14:textId="3C835FC7" w:rsidR="00C26B2F" w:rsidRPr="00786F0A" w:rsidRDefault="00C26B2F" w:rsidP="009C6F8D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9C6F8D" w:rsidRPr="009C6F8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 xml:space="preserve">TVEL 股份有限公司(JSC TVEL) </w:t>
            </w:r>
          </w:p>
        </w:tc>
        <w:tc>
          <w:tcPr>
            <w:tcW w:w="5153" w:type="dxa"/>
          </w:tcPr>
          <w:p w14:paraId="281472BE" w14:textId="5CFFCFEB" w:rsidR="002539C2" w:rsidRDefault="009C6F8D" w:rsidP="002539C2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C6F8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TVEL 股份有限公司(JSC TVEL) (“TVEL”)</w:t>
            </w:r>
            <w:r>
              <w:rPr>
                <w:rFonts w:hint="eastAsia"/>
              </w:rPr>
              <w:t xml:space="preserve"> </w:t>
            </w:r>
            <w:r w:rsidRPr="009C6F8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是一家俄罗斯核燃料循环公司，总部设在莫斯科。</w:t>
            </w:r>
          </w:p>
          <w:p w14:paraId="38BF8587" w14:textId="58453B79" w:rsidR="002539C2" w:rsidRDefault="009873CC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873C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TVEL由</w:t>
            </w:r>
            <w:proofErr w:type="spellStart"/>
            <w:r w:rsidRPr="009873C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Atomenergoprom</w:t>
            </w:r>
            <w:proofErr w:type="spellEnd"/>
            <w:r w:rsidRPr="009873CC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股份公司100%控股</w:t>
            </w:r>
            <w:r w:rsidR="002539C2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741CF9F0" w14:textId="154D4111" w:rsidR="009873CC" w:rsidRPr="00786F0A" w:rsidRDefault="009C6F8D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9C6F8D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TVEL主要从事VVER型反应堆的核燃料生产、铀的转化和浓缩、气体离心机的制造，并拥有科研和设计机构。TVEL的核心业务是为配备VVER技术的发电和研究用反应堆制造和供应核燃料。</w:t>
            </w:r>
          </w:p>
        </w:tc>
      </w:tr>
      <w:tr w:rsidR="00786F0A" w:rsidRPr="00786F0A" w14:paraId="77A99D7E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3C3E969" w14:textId="77777777" w:rsid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  <w:p w14:paraId="2E1E72DA" w14:textId="4FC5E112" w:rsidR="009873CC" w:rsidRPr="00786F0A" w:rsidRDefault="009873CC" w:rsidP="009524E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128DCC0" w14:textId="0071552C" w:rsidR="00CE093A" w:rsidRPr="00786F0A" w:rsidRDefault="00122477" w:rsidP="00F92DC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786F0A" w:rsidRPr="00786F0A" w14:paraId="5741ADE1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10BF29E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2677D61" w14:textId="11A3DB95" w:rsidR="00CE093A" w:rsidRPr="00786F0A" w:rsidRDefault="00EC4A97" w:rsidP="00F92DC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786F0A" w:rsidRPr="00786F0A" w14:paraId="68B20E92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DB88110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A3BF1A4" w14:textId="48C43AE6" w:rsidR="00CE093A" w:rsidRPr="00786F0A" w:rsidRDefault="00B22101" w:rsidP="00F92DC8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786F0A" w:rsidRPr="00786F0A" w14:paraId="4EABFE3C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11E5E9C2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C456E79" w14:textId="77777777" w:rsidR="00CB00DF" w:rsidRPr="00786F0A" w:rsidRDefault="00CB00D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786F0A" w:rsidRPr="00786F0A" w14:paraId="3310563F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7451B50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135ABE5" w14:textId="59E97E8B" w:rsidR="009873CC" w:rsidRPr="00786F0A" w:rsidRDefault="00B22101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szCs w:val="21"/>
              </w:rPr>
              <w:sym w:font="Wingdings" w:char="F0FE"/>
            </w:r>
            <w:r w:rsidR="00CB00DF"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 w:rsidR="00786F0A" w:rsidRPr="00786F0A" w14:paraId="6A10D296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4C971A7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F19C114" w14:textId="2EE1657C" w:rsidR="00CB00DF" w:rsidRPr="00786F0A" w:rsidRDefault="00CB00DF" w:rsidP="006908A4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786F0A" w:rsidRPr="00786F0A" w14:paraId="29BBA205" w14:textId="77777777" w:rsidTr="00B90F40">
        <w:trPr>
          <w:trHeight w:val="1833"/>
        </w:trPr>
        <w:tc>
          <w:tcPr>
            <w:tcW w:w="1809" w:type="dxa"/>
            <w:shd w:val="clear" w:color="auto" w:fill="D9D9D9"/>
            <w:vAlign w:val="center"/>
          </w:tcPr>
          <w:p w14:paraId="6D15709E" w14:textId="77777777" w:rsidR="00CB00DF" w:rsidRPr="00786F0A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86F0A">
              <w:rPr>
                <w:rFonts w:ascii="仿宋" w:eastAsia="仿宋" w:hAnsi="仿宋" w:cs="宋体" w:hint="eastAsia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  <w:p w14:paraId="226BB8C8" w14:textId="45E82608" w:rsidR="00667C08" w:rsidRPr="00786F0A" w:rsidRDefault="00667C08" w:rsidP="00CB00DF">
            <w:pPr>
              <w:spacing w:line="500" w:lineRule="exact"/>
              <w:jc w:val="center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99CA6E7" w14:textId="2B1453F6" w:rsidR="00731B49" w:rsidRPr="00C375B5" w:rsidRDefault="00731B49" w:rsidP="00246CC5">
            <w:pPr>
              <w:spacing w:line="500" w:lineRule="exact"/>
              <w:rPr>
                <w:rFonts w:ascii="仿宋" w:eastAsia="仿宋" w:hAnsi="仿宋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1E4352D7" w14:textId="77777777" w:rsidR="00CB00DF" w:rsidRPr="00786F0A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17CDBE5A" w14:textId="791E9ED4" w:rsidR="00CB00DF" w:rsidRPr="00786F0A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786F0A"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26C01DA8" w14:textId="77777777" w:rsidR="00786F0A" w:rsidRPr="00786F0A" w:rsidRDefault="00786F0A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</w:p>
    <w:p w14:paraId="4B0C37AB" w14:textId="77777777" w:rsidR="00CB00DF" w:rsidRPr="00786F0A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786F0A">
        <w:rPr>
          <w:rFonts w:ascii="方正仿宋_GBK" w:eastAsia="方正仿宋_GBK" w:hAnsi="宋体" w:hint="eastAsia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</w:t>
      </w:r>
      <w:r w:rsidRPr="00786F0A">
        <w:rPr>
          <w:rFonts w:ascii="方正仿宋_GBK" w:eastAsia="方正仿宋_GBK" w:hAnsi="宋体" w:hint="eastAsia"/>
          <w:sz w:val="24"/>
          <w:szCs w:val="24"/>
        </w:rPr>
        <w:lastRenderedPageBreak/>
        <w:t>额可以区间形式提供，区间幅度不应超过5%。1-3项可以多选，也可单选；没有勾选的，视为本集中不涉及该类型交易。</w:t>
      </w:r>
    </w:p>
    <w:p w14:paraId="2EC08512" w14:textId="77777777" w:rsidR="00CB00DF" w:rsidRPr="00786F0A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786F0A">
        <w:rPr>
          <w:rFonts w:ascii="方正仿宋_GBK" w:eastAsia="方正仿宋_GBK" w:hAnsi="宋体" w:hint="eastAsia"/>
          <w:sz w:val="24"/>
          <w:szCs w:val="24"/>
        </w:rPr>
        <w:t>2.申报方申请简易案件的理由是基于第4项、第5项时，无须在备注中说明相关市场和市场份额。</w:t>
      </w:r>
      <w:r w:rsidRPr="00786F0A">
        <w:rPr>
          <w:rFonts w:ascii="方正仿宋_GBK" w:eastAsia="方正仿宋_GBK" w:hAnsi="宋体" w:hint="eastAsia"/>
          <w:sz w:val="24"/>
          <w:szCs w:val="24"/>
        </w:rPr>
        <w:br/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2ABDD73C" w14:textId="77777777" w:rsidR="00CB00DF" w:rsidRPr="00786F0A" w:rsidRDefault="00CB00DF" w:rsidP="00CB00DF"/>
    <w:p w14:paraId="4FF6EE84" w14:textId="77777777" w:rsidR="000F5E24" w:rsidRPr="00786F0A" w:rsidRDefault="007707D2"/>
    <w:sectPr w:rsidR="000F5E24" w:rsidRPr="00786F0A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A1C06" w14:textId="77777777" w:rsidR="007707D2" w:rsidRDefault="007707D2" w:rsidP="00246CC5">
      <w:r>
        <w:separator/>
      </w:r>
    </w:p>
  </w:endnote>
  <w:endnote w:type="continuationSeparator" w:id="0">
    <w:p w14:paraId="23542114" w14:textId="77777777" w:rsidR="007707D2" w:rsidRDefault="007707D2" w:rsidP="00246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5843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CEED0" w14:textId="2CF8B3EA" w:rsidR="00246CC5" w:rsidRDefault="00246CC5">
        <w:pPr>
          <w:pStyle w:val="ad"/>
          <w:jc w:val="right"/>
        </w:pPr>
        <w:r w:rsidRPr="00246CC5">
          <w:rPr>
            <w:sz w:val="18"/>
            <w:szCs w:val="18"/>
          </w:rPr>
          <w:fldChar w:fldCharType="begin"/>
        </w:r>
        <w:r w:rsidRPr="00246CC5">
          <w:rPr>
            <w:sz w:val="18"/>
            <w:szCs w:val="18"/>
          </w:rPr>
          <w:instrText xml:space="preserve"> PAGE   \* MERGEFORMAT </w:instrText>
        </w:r>
        <w:r w:rsidRPr="00246CC5">
          <w:rPr>
            <w:sz w:val="18"/>
            <w:szCs w:val="18"/>
          </w:rPr>
          <w:fldChar w:fldCharType="separate"/>
        </w:r>
        <w:r w:rsidRPr="00246CC5">
          <w:rPr>
            <w:noProof/>
            <w:sz w:val="18"/>
            <w:szCs w:val="18"/>
          </w:rPr>
          <w:t>2</w:t>
        </w:r>
        <w:r w:rsidRPr="00246CC5">
          <w:rPr>
            <w:noProof/>
            <w:sz w:val="18"/>
            <w:szCs w:val="18"/>
          </w:rPr>
          <w:fldChar w:fldCharType="end"/>
        </w:r>
      </w:p>
    </w:sdtContent>
  </w:sdt>
  <w:p w14:paraId="454B508F" w14:textId="77777777" w:rsidR="00246CC5" w:rsidRDefault="00246CC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2F66E" w14:textId="77777777" w:rsidR="007707D2" w:rsidRDefault="007707D2" w:rsidP="00246CC5">
      <w:r>
        <w:separator/>
      </w:r>
    </w:p>
  </w:footnote>
  <w:footnote w:type="continuationSeparator" w:id="0">
    <w:p w14:paraId="3236EC4E" w14:textId="77777777" w:rsidR="007707D2" w:rsidRDefault="007707D2" w:rsidP="00246C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E1599"/>
    <w:multiLevelType w:val="hybridMultilevel"/>
    <w:tmpl w:val="8B20E688"/>
    <w:lvl w:ilvl="0" w:tplc="C122F1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80293"/>
    <w:multiLevelType w:val="hybridMultilevel"/>
    <w:tmpl w:val="37C25D44"/>
    <w:lvl w:ilvl="0" w:tplc="110660F6">
      <w:start w:val="1"/>
      <w:numFmt w:val="lowerLetter"/>
      <w:lvlText w:val="(%1)"/>
      <w:lvlJc w:val="left"/>
      <w:pPr>
        <w:ind w:left="1011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6" w:hanging="360"/>
      </w:pPr>
    </w:lvl>
    <w:lvl w:ilvl="2" w:tplc="0409001B" w:tentative="1">
      <w:start w:val="1"/>
      <w:numFmt w:val="lowerRoman"/>
      <w:lvlText w:val="%3."/>
      <w:lvlJc w:val="right"/>
      <w:pPr>
        <w:ind w:left="2406" w:hanging="180"/>
      </w:pPr>
    </w:lvl>
    <w:lvl w:ilvl="3" w:tplc="0409000F" w:tentative="1">
      <w:start w:val="1"/>
      <w:numFmt w:val="decimal"/>
      <w:lvlText w:val="%4."/>
      <w:lvlJc w:val="left"/>
      <w:pPr>
        <w:ind w:left="3126" w:hanging="360"/>
      </w:pPr>
    </w:lvl>
    <w:lvl w:ilvl="4" w:tplc="04090019" w:tentative="1">
      <w:start w:val="1"/>
      <w:numFmt w:val="lowerLetter"/>
      <w:lvlText w:val="%5."/>
      <w:lvlJc w:val="left"/>
      <w:pPr>
        <w:ind w:left="3846" w:hanging="360"/>
      </w:pPr>
    </w:lvl>
    <w:lvl w:ilvl="5" w:tplc="0409001B" w:tentative="1">
      <w:start w:val="1"/>
      <w:numFmt w:val="lowerRoman"/>
      <w:lvlText w:val="%6."/>
      <w:lvlJc w:val="right"/>
      <w:pPr>
        <w:ind w:left="4566" w:hanging="180"/>
      </w:pPr>
    </w:lvl>
    <w:lvl w:ilvl="6" w:tplc="0409000F" w:tentative="1">
      <w:start w:val="1"/>
      <w:numFmt w:val="decimal"/>
      <w:lvlText w:val="%7."/>
      <w:lvlJc w:val="left"/>
      <w:pPr>
        <w:ind w:left="5286" w:hanging="360"/>
      </w:pPr>
    </w:lvl>
    <w:lvl w:ilvl="7" w:tplc="04090019" w:tentative="1">
      <w:start w:val="1"/>
      <w:numFmt w:val="lowerLetter"/>
      <w:lvlText w:val="%8."/>
      <w:lvlJc w:val="left"/>
      <w:pPr>
        <w:ind w:left="6006" w:hanging="360"/>
      </w:pPr>
    </w:lvl>
    <w:lvl w:ilvl="8" w:tplc="0409001B" w:tentative="1">
      <w:start w:val="1"/>
      <w:numFmt w:val="lowerRoman"/>
      <w:lvlText w:val="%9."/>
      <w:lvlJc w:val="right"/>
      <w:pPr>
        <w:ind w:left="6726" w:hanging="180"/>
      </w:pPr>
    </w:lvl>
  </w:abstractNum>
  <w:abstractNum w:abstractNumId="2" w15:restartNumberingAfterBreak="0">
    <w:nsid w:val="7C064900"/>
    <w:multiLevelType w:val="hybridMultilevel"/>
    <w:tmpl w:val="99F4BAFC"/>
    <w:lvl w:ilvl="0" w:tplc="2A0450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67F1C"/>
    <w:rsid w:val="0007327F"/>
    <w:rsid w:val="000C04E8"/>
    <w:rsid w:val="000D7EBA"/>
    <w:rsid w:val="001164CD"/>
    <w:rsid w:val="00122477"/>
    <w:rsid w:val="001551B1"/>
    <w:rsid w:val="00155717"/>
    <w:rsid w:val="00155D5D"/>
    <w:rsid w:val="001734B6"/>
    <w:rsid w:val="001837A3"/>
    <w:rsid w:val="001A0EAD"/>
    <w:rsid w:val="001A4CF4"/>
    <w:rsid w:val="001E2A2E"/>
    <w:rsid w:val="00211A43"/>
    <w:rsid w:val="00213570"/>
    <w:rsid w:val="0022561E"/>
    <w:rsid w:val="00246CC5"/>
    <w:rsid w:val="002539C2"/>
    <w:rsid w:val="002635CF"/>
    <w:rsid w:val="0026418E"/>
    <w:rsid w:val="00281D33"/>
    <w:rsid w:val="002C3841"/>
    <w:rsid w:val="002D5DA7"/>
    <w:rsid w:val="0034063F"/>
    <w:rsid w:val="00340D9A"/>
    <w:rsid w:val="0035201F"/>
    <w:rsid w:val="00353F39"/>
    <w:rsid w:val="003B0F90"/>
    <w:rsid w:val="003C0AEB"/>
    <w:rsid w:val="003C3ABD"/>
    <w:rsid w:val="004056C3"/>
    <w:rsid w:val="00417501"/>
    <w:rsid w:val="004255F9"/>
    <w:rsid w:val="00484E26"/>
    <w:rsid w:val="00493465"/>
    <w:rsid w:val="004B4358"/>
    <w:rsid w:val="004E45CF"/>
    <w:rsid w:val="004F7688"/>
    <w:rsid w:val="00521CFA"/>
    <w:rsid w:val="005367C9"/>
    <w:rsid w:val="005416CC"/>
    <w:rsid w:val="0057346F"/>
    <w:rsid w:val="005866DF"/>
    <w:rsid w:val="0063614B"/>
    <w:rsid w:val="006467D8"/>
    <w:rsid w:val="0064780B"/>
    <w:rsid w:val="00667C08"/>
    <w:rsid w:val="006A2C8E"/>
    <w:rsid w:val="006A531B"/>
    <w:rsid w:val="006B30B4"/>
    <w:rsid w:val="006F7693"/>
    <w:rsid w:val="00701636"/>
    <w:rsid w:val="00710140"/>
    <w:rsid w:val="0073010C"/>
    <w:rsid w:val="00731B49"/>
    <w:rsid w:val="00745A22"/>
    <w:rsid w:val="007707D2"/>
    <w:rsid w:val="00776F27"/>
    <w:rsid w:val="00786F0A"/>
    <w:rsid w:val="007C2900"/>
    <w:rsid w:val="007D7842"/>
    <w:rsid w:val="007F2275"/>
    <w:rsid w:val="008030C2"/>
    <w:rsid w:val="00854D7A"/>
    <w:rsid w:val="008556BE"/>
    <w:rsid w:val="00857025"/>
    <w:rsid w:val="0088420A"/>
    <w:rsid w:val="008B7BA5"/>
    <w:rsid w:val="008D4C09"/>
    <w:rsid w:val="00915F0F"/>
    <w:rsid w:val="00947D76"/>
    <w:rsid w:val="00950659"/>
    <w:rsid w:val="009524E8"/>
    <w:rsid w:val="009532DF"/>
    <w:rsid w:val="009765A8"/>
    <w:rsid w:val="009873CC"/>
    <w:rsid w:val="00997019"/>
    <w:rsid w:val="009A5029"/>
    <w:rsid w:val="009C6F8D"/>
    <w:rsid w:val="009D38D5"/>
    <w:rsid w:val="009D5215"/>
    <w:rsid w:val="00A1761C"/>
    <w:rsid w:val="00A240B8"/>
    <w:rsid w:val="00A517E0"/>
    <w:rsid w:val="00A53F26"/>
    <w:rsid w:val="00A55571"/>
    <w:rsid w:val="00A740F8"/>
    <w:rsid w:val="00AA0CC5"/>
    <w:rsid w:val="00AB32FB"/>
    <w:rsid w:val="00AB5613"/>
    <w:rsid w:val="00AC22E6"/>
    <w:rsid w:val="00AD4F3F"/>
    <w:rsid w:val="00AE1A47"/>
    <w:rsid w:val="00AE2329"/>
    <w:rsid w:val="00B07E1E"/>
    <w:rsid w:val="00B16AFE"/>
    <w:rsid w:val="00B22101"/>
    <w:rsid w:val="00B32E20"/>
    <w:rsid w:val="00B43BFF"/>
    <w:rsid w:val="00B65DD5"/>
    <w:rsid w:val="00B8289A"/>
    <w:rsid w:val="00B90F40"/>
    <w:rsid w:val="00BA2DCD"/>
    <w:rsid w:val="00BB65FC"/>
    <w:rsid w:val="00BD10B6"/>
    <w:rsid w:val="00BE5BAF"/>
    <w:rsid w:val="00C07076"/>
    <w:rsid w:val="00C26B2F"/>
    <w:rsid w:val="00C375B5"/>
    <w:rsid w:val="00C64BCF"/>
    <w:rsid w:val="00C67F16"/>
    <w:rsid w:val="00CA52D7"/>
    <w:rsid w:val="00CB00DF"/>
    <w:rsid w:val="00CE093A"/>
    <w:rsid w:val="00D5338D"/>
    <w:rsid w:val="00D53C40"/>
    <w:rsid w:val="00D714B6"/>
    <w:rsid w:val="00D73C72"/>
    <w:rsid w:val="00E0592B"/>
    <w:rsid w:val="00E07D61"/>
    <w:rsid w:val="00E10958"/>
    <w:rsid w:val="00E131C8"/>
    <w:rsid w:val="00E31738"/>
    <w:rsid w:val="00E86786"/>
    <w:rsid w:val="00E90398"/>
    <w:rsid w:val="00EA30CA"/>
    <w:rsid w:val="00EB1B0E"/>
    <w:rsid w:val="00EC0A67"/>
    <w:rsid w:val="00EC4A97"/>
    <w:rsid w:val="00ED2F80"/>
    <w:rsid w:val="00ED3342"/>
    <w:rsid w:val="00EE4B13"/>
    <w:rsid w:val="00F0757D"/>
    <w:rsid w:val="00F07F6A"/>
    <w:rsid w:val="00F1624E"/>
    <w:rsid w:val="00F32F8A"/>
    <w:rsid w:val="00F36275"/>
    <w:rsid w:val="00F71110"/>
    <w:rsid w:val="00F731B7"/>
    <w:rsid w:val="00F751E4"/>
    <w:rsid w:val="00F810AA"/>
    <w:rsid w:val="00F828C3"/>
    <w:rsid w:val="00F92DC8"/>
    <w:rsid w:val="00FB43EC"/>
    <w:rsid w:val="00FB6B40"/>
    <w:rsid w:val="00FD0F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57A5DD"/>
  <w15:docId w15:val="{5F7B6DB0-B31A-4004-A744-0799F4B6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5613"/>
    <w:rPr>
      <w:rFonts w:ascii="Segoe UI" w:hAnsi="Segoe UI" w:cs="Segoe U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B5613"/>
    <w:rPr>
      <w:rFonts w:ascii="Segoe UI" w:eastAsia="宋体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88420A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70163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01636"/>
    <w:rPr>
      <w:sz w:val="20"/>
      <w:szCs w:val="20"/>
    </w:rPr>
  </w:style>
  <w:style w:type="character" w:customStyle="1" w:styleId="a8">
    <w:name w:val="批注文字 字符"/>
    <w:basedOn w:val="a0"/>
    <w:link w:val="a7"/>
    <w:uiPriority w:val="99"/>
    <w:semiHidden/>
    <w:rsid w:val="00701636"/>
    <w:rPr>
      <w:rFonts w:ascii="Calibri" w:eastAsia="宋体" w:hAnsi="Calibri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01636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701636"/>
    <w:rPr>
      <w:rFonts w:ascii="Calibri" w:eastAsia="宋体" w:hAnsi="Calibri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246CC5"/>
    <w:pPr>
      <w:tabs>
        <w:tab w:val="center" w:pos="4680"/>
        <w:tab w:val="right" w:pos="9360"/>
      </w:tabs>
    </w:pPr>
  </w:style>
  <w:style w:type="character" w:customStyle="1" w:styleId="ac">
    <w:name w:val="页眉 字符"/>
    <w:basedOn w:val="a0"/>
    <w:link w:val="ab"/>
    <w:uiPriority w:val="99"/>
    <w:rsid w:val="00246CC5"/>
    <w:rPr>
      <w:rFonts w:ascii="Calibri" w:eastAsia="宋体" w:hAnsi="Calibri" w:cs="Times New Roman"/>
    </w:rPr>
  </w:style>
  <w:style w:type="paragraph" w:styleId="ad">
    <w:name w:val="footer"/>
    <w:basedOn w:val="a"/>
    <w:link w:val="ae"/>
    <w:uiPriority w:val="99"/>
    <w:unhideWhenUsed/>
    <w:rsid w:val="00246CC5"/>
    <w:pPr>
      <w:tabs>
        <w:tab w:val="center" w:pos="4680"/>
        <w:tab w:val="right" w:pos="9360"/>
      </w:tabs>
    </w:pPr>
  </w:style>
  <w:style w:type="character" w:customStyle="1" w:styleId="ae">
    <w:name w:val="页脚 字符"/>
    <w:basedOn w:val="a0"/>
    <w:link w:val="ad"/>
    <w:uiPriority w:val="99"/>
    <w:rsid w:val="00246CC5"/>
    <w:rPr>
      <w:rFonts w:ascii="Calibri" w:eastAsia="宋体" w:hAnsi="Calibri" w:cs="Times New Roman"/>
    </w:rPr>
  </w:style>
  <w:style w:type="paragraph" w:styleId="af">
    <w:name w:val="footnote text"/>
    <w:basedOn w:val="a"/>
    <w:link w:val="af0"/>
    <w:uiPriority w:val="99"/>
    <w:semiHidden/>
    <w:unhideWhenUsed/>
    <w:rsid w:val="00A1761C"/>
    <w:rPr>
      <w:sz w:val="20"/>
      <w:szCs w:val="20"/>
    </w:rPr>
  </w:style>
  <w:style w:type="character" w:customStyle="1" w:styleId="af0">
    <w:name w:val="脚注文本 字符"/>
    <w:basedOn w:val="a0"/>
    <w:link w:val="af"/>
    <w:uiPriority w:val="99"/>
    <w:semiHidden/>
    <w:rsid w:val="00A1761C"/>
    <w:rPr>
      <w:rFonts w:ascii="Calibri" w:eastAsia="宋体" w:hAnsi="Calibri" w:cs="Times New Roman"/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1761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D2659-D6DA-40A3-991D-A1C22561B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陈媚</dc:creator>
  <cp:lastModifiedBy>huawei zhang</cp:lastModifiedBy>
  <cp:revision>3</cp:revision>
  <dcterms:created xsi:type="dcterms:W3CDTF">2021-04-23T00:44:00Z</dcterms:created>
  <dcterms:modified xsi:type="dcterms:W3CDTF">2021-04-23T00:45:00Z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1001055666</vt:i4>
  </property>
  <property fmtid="{D5CDD505-2E9C-101B-9397-08002B2CF9AE}" pid="3" name="_NewReviewCycle">
    <vt:lpwstr/>
  </property>
  <property fmtid="{D5CDD505-2E9C-101B-9397-08002B2CF9AE}" pid="4" name="_EmailSubject">
    <vt:lpwstr>210421 TVEL股份有限公司收购RM 20222 Vermögensverwaltungs 有限责任公司股权案简易案件公示表</vt:lpwstr>
  </property>
  <property fmtid="{D5CDD505-2E9C-101B-9397-08002B2CF9AE}" pid="5" name="_ReviewingToolsShownOnce">
    <vt:lpwstr/>
  </property>
</Properties>
</file>