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eastAsia="楷体"/>
          <w:b/>
          <w:sz w:val="24"/>
          <w:szCs w:val="24"/>
        </w:rPr>
      </w:pPr>
      <w:r>
        <w:rPr>
          <w:rFonts w:ascii="Times New Roman" w:hAnsi="Times New Roman" w:eastAsia="楷体"/>
          <w:b/>
          <w:sz w:val="24"/>
          <w:szCs w:val="24"/>
        </w:rPr>
        <w:t>经营者集中简易案件公示表</w:t>
      </w:r>
    </w:p>
    <w:p>
      <w:pPr>
        <w:spacing w:line="440" w:lineRule="exact"/>
        <w:rPr>
          <w:rFonts w:ascii="Times New Roman" w:hAnsi="Times New Roman" w:eastAsia="楷体"/>
          <w:sz w:val="24"/>
          <w:szCs w:val="24"/>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ascii="Times New Roman" w:hAnsi="Times New Roman" w:eastAsia="楷体"/>
                <w:b/>
                <w:sz w:val="24"/>
                <w:szCs w:val="24"/>
              </w:rPr>
            </w:pPr>
            <w:r>
              <w:rPr>
                <w:rFonts w:ascii="Times New Roman" w:hAnsi="Times New Roman" w:eastAsia="楷体"/>
                <w:b/>
                <w:sz w:val="24"/>
                <w:szCs w:val="24"/>
              </w:rPr>
              <w:t>案件名称</w:t>
            </w:r>
          </w:p>
        </w:tc>
        <w:tc>
          <w:tcPr>
            <w:tcW w:w="6949" w:type="dxa"/>
            <w:gridSpan w:val="2"/>
          </w:tcPr>
          <w:p>
            <w:pPr>
              <w:spacing w:line="500" w:lineRule="exact"/>
              <w:rPr>
                <w:rFonts w:ascii="Times New Roman" w:hAnsi="Times New Roman" w:eastAsia="楷体"/>
                <w:sz w:val="24"/>
                <w:szCs w:val="24"/>
              </w:rPr>
            </w:pPr>
            <w:r>
              <w:rPr>
                <w:rFonts w:hint="eastAsia" w:ascii="Times New Roman" w:hAnsi="Times New Roman" w:eastAsia="楷体"/>
                <w:kern w:val="0"/>
                <w:sz w:val="24"/>
              </w:rPr>
              <w:t>中国电子科技集团有限公司收购中国普天信息产业集团有限公司股权案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tcPr>
          <w:p>
            <w:pPr>
              <w:spacing w:line="500" w:lineRule="exact"/>
              <w:rPr>
                <w:rFonts w:ascii="Times New Roman" w:hAnsi="Times New Roman" w:eastAsia="楷体"/>
                <w:b/>
                <w:sz w:val="24"/>
                <w:szCs w:val="24"/>
              </w:rPr>
            </w:pPr>
            <w:r>
              <w:rPr>
                <w:rFonts w:ascii="Times New Roman" w:hAnsi="Times New Roman" w:eastAsia="楷体"/>
                <w:b/>
                <w:sz w:val="24"/>
                <w:szCs w:val="24"/>
              </w:rPr>
              <w:t>交易概况（限200字内）</w:t>
            </w:r>
          </w:p>
        </w:tc>
        <w:tc>
          <w:tcPr>
            <w:tcW w:w="6949" w:type="dxa"/>
            <w:gridSpan w:val="2"/>
          </w:tcPr>
          <w:p>
            <w:pPr>
              <w:spacing w:line="500" w:lineRule="exact"/>
              <w:rPr>
                <w:rFonts w:ascii="Times New Roman" w:hAnsi="Times New Roman" w:eastAsia="楷体"/>
                <w:sz w:val="24"/>
                <w:szCs w:val="24"/>
              </w:rPr>
            </w:pPr>
            <w:r>
              <w:rPr>
                <w:rFonts w:hint="eastAsia" w:ascii="Times New Roman" w:hAnsi="Times New Roman" w:eastAsia="楷体"/>
                <w:kern w:val="0"/>
                <w:sz w:val="24"/>
              </w:rPr>
              <w:t>中国普天信息产业集团有限公司整体产权无偿划入中国电子科技集团有限公司，中国普天信息产业集团有限公司成为中国电子科技集团有限公司的全资子公司。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tcPr>
          <w:p>
            <w:pPr>
              <w:spacing w:line="500" w:lineRule="exact"/>
              <w:rPr>
                <w:rFonts w:ascii="Times New Roman" w:hAnsi="Times New Roman" w:eastAsia="楷体"/>
                <w:b/>
                <w:sz w:val="24"/>
                <w:szCs w:val="24"/>
              </w:rPr>
            </w:pPr>
            <w:r>
              <w:rPr>
                <w:rFonts w:ascii="Times New Roman" w:hAnsi="Times New Roman" w:eastAsia="楷体"/>
                <w:b/>
                <w:sz w:val="24"/>
                <w:szCs w:val="24"/>
              </w:rPr>
              <w:t>参与集中的经营者简介</w:t>
            </w:r>
          </w:p>
        </w:tc>
        <w:tc>
          <w:tcPr>
            <w:tcW w:w="1796" w:type="dxa"/>
          </w:tcPr>
          <w:p>
            <w:pPr>
              <w:spacing w:line="500" w:lineRule="exact"/>
              <w:rPr>
                <w:rFonts w:ascii="Times New Roman" w:hAnsi="Times New Roman" w:eastAsia="楷体"/>
                <w:sz w:val="24"/>
                <w:szCs w:val="24"/>
              </w:rPr>
            </w:pPr>
            <w:r>
              <w:rPr>
                <w:rFonts w:ascii="Times New Roman" w:hAnsi="Times New Roman" w:eastAsia="楷体"/>
                <w:sz w:val="24"/>
                <w:szCs w:val="24"/>
              </w:rPr>
              <w:t>1、</w:t>
            </w:r>
            <w:r>
              <w:rPr>
                <w:rFonts w:hint="eastAsia" w:ascii="Times New Roman" w:hAnsi="Times New Roman" w:eastAsia="楷体"/>
                <w:kern w:val="0"/>
                <w:sz w:val="24"/>
              </w:rPr>
              <w:t>中国电子科技集团有限公司（“中国电科”）</w:t>
            </w:r>
          </w:p>
        </w:tc>
        <w:tc>
          <w:tcPr>
            <w:tcW w:w="5153" w:type="dxa"/>
          </w:tcPr>
          <w:p>
            <w:pPr>
              <w:spacing w:line="500" w:lineRule="exact"/>
              <w:rPr>
                <w:rFonts w:ascii="Times New Roman" w:hAnsi="Times New Roman" w:eastAsia="楷体"/>
                <w:sz w:val="24"/>
                <w:szCs w:val="24"/>
              </w:rPr>
            </w:pPr>
            <w:r>
              <w:rPr>
                <w:rFonts w:hint="eastAsia" w:ascii="Times New Roman" w:hAnsi="Times New Roman" w:eastAsia="楷体"/>
                <w:sz w:val="24"/>
                <w:szCs w:val="24"/>
              </w:rPr>
              <w:t>中国电科，是中央直接管理的国有重要骨干企业，是我国军工电子主力军、网信事业国家队、国家战略科技力量。中国电科拥有电子信息领域相对完备的科技创新体系，在军工电子和网信领域占据技术主导地位，肩负着支撑科技自立自强、推进国防现代化、加快数字经济发展、服务社会民生的重要职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tcPr>
          <w:p>
            <w:pPr>
              <w:spacing w:line="500" w:lineRule="exact"/>
              <w:rPr>
                <w:rFonts w:ascii="Times New Roman" w:hAnsi="Times New Roman" w:eastAsia="楷体"/>
                <w:b/>
                <w:sz w:val="24"/>
                <w:szCs w:val="24"/>
              </w:rPr>
            </w:pPr>
          </w:p>
        </w:tc>
        <w:tc>
          <w:tcPr>
            <w:tcW w:w="1796" w:type="dxa"/>
          </w:tcPr>
          <w:p>
            <w:pPr>
              <w:spacing w:line="500" w:lineRule="exact"/>
              <w:rPr>
                <w:rFonts w:ascii="Times New Roman" w:hAnsi="Times New Roman" w:eastAsia="楷体"/>
                <w:sz w:val="24"/>
                <w:szCs w:val="24"/>
              </w:rPr>
            </w:pPr>
            <w:r>
              <w:rPr>
                <w:rFonts w:ascii="Times New Roman" w:hAnsi="Times New Roman" w:eastAsia="楷体"/>
                <w:sz w:val="24"/>
                <w:szCs w:val="24"/>
              </w:rPr>
              <w:t>2、</w:t>
            </w:r>
            <w:r>
              <w:rPr>
                <w:rFonts w:hint="eastAsia" w:ascii="Times New Roman" w:hAnsi="Times New Roman" w:eastAsia="楷体"/>
                <w:kern w:val="0"/>
                <w:sz w:val="24"/>
              </w:rPr>
              <w:t>中国普天信息产业集团有限公司（“中国普天”）</w:t>
            </w:r>
          </w:p>
        </w:tc>
        <w:tc>
          <w:tcPr>
            <w:tcW w:w="5153" w:type="dxa"/>
          </w:tcPr>
          <w:p>
            <w:pPr>
              <w:spacing w:line="500" w:lineRule="exact"/>
              <w:rPr>
                <w:rFonts w:ascii="Times New Roman" w:hAnsi="Times New Roman" w:eastAsia="楷体"/>
                <w:sz w:val="24"/>
                <w:szCs w:val="24"/>
              </w:rPr>
            </w:pPr>
            <w:r>
              <w:rPr>
                <w:rFonts w:hint="eastAsia" w:ascii="Times New Roman" w:hAnsi="Times New Roman" w:eastAsia="楷体"/>
                <w:sz w:val="24"/>
                <w:szCs w:val="24"/>
              </w:rPr>
              <w:t>中国普天是国务院国有资产监督管理委员会直接管理的中央企业，前身源于国家原邮电部工业局和中国邮电工业总公司。中国普天的主要业务覆盖信息通信与网络安全、智能装备与终端、智慧应用，涉及手机等移动终端分销、专网通信，智能自助设备、物流自动化装备、智能卡与系统，智慧城市及创新创业园区服务等业务领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tcPr>
          <w:p>
            <w:pPr>
              <w:spacing w:line="500" w:lineRule="exact"/>
              <w:rPr>
                <w:rFonts w:ascii="Times New Roman" w:hAnsi="Times New Roman" w:eastAsia="楷体"/>
                <w:b/>
                <w:sz w:val="24"/>
                <w:szCs w:val="24"/>
              </w:rPr>
            </w:pPr>
            <w:r>
              <w:rPr>
                <w:rFonts w:ascii="Times New Roman" w:hAnsi="Times New Roman" w:eastAsia="楷体"/>
                <w:b/>
                <w:sz w:val="24"/>
                <w:szCs w:val="24"/>
              </w:rPr>
              <w:t>简易案件理由（可以单选，也可以多选）</w:t>
            </w:r>
          </w:p>
        </w:tc>
        <w:tc>
          <w:tcPr>
            <w:tcW w:w="6949" w:type="dxa"/>
            <w:gridSpan w:val="2"/>
          </w:tcPr>
          <w:p>
            <w:pPr>
              <w:spacing w:line="500" w:lineRule="exact"/>
              <w:rPr>
                <w:rFonts w:ascii="Times New Roman" w:hAnsi="Times New Roman" w:eastAsia="楷体"/>
                <w:sz w:val="24"/>
                <w:szCs w:val="24"/>
              </w:rPr>
            </w:pPr>
            <w:r>
              <w:rPr>
                <w:rFonts w:ascii="Times New Roman" w:hAnsi="Times New Roman" w:eastAsia="楷体"/>
                <w:sz w:val="24"/>
                <w:szCs w:val="21"/>
              </w:rPr>
              <w:sym w:font="Wingdings" w:char="F0FE"/>
            </w:r>
            <w:r>
              <w:rPr>
                <w:rFonts w:ascii="Times New Roman" w:hAnsi="Times New Roman" w:eastAsia="楷体"/>
                <w:sz w:val="24"/>
                <w:szCs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spacing w:line="500" w:lineRule="exact"/>
              <w:rPr>
                <w:rFonts w:ascii="Times New Roman" w:hAnsi="Times New Roman" w:eastAsia="楷体"/>
                <w:b/>
                <w:sz w:val="24"/>
                <w:szCs w:val="24"/>
              </w:rPr>
            </w:pPr>
          </w:p>
        </w:tc>
        <w:tc>
          <w:tcPr>
            <w:tcW w:w="6949" w:type="dxa"/>
            <w:gridSpan w:val="2"/>
          </w:tcPr>
          <w:p>
            <w:pPr>
              <w:spacing w:line="500" w:lineRule="exact"/>
              <w:rPr>
                <w:rFonts w:ascii="Times New Roman" w:hAnsi="Times New Roman" w:eastAsia="楷体"/>
                <w:sz w:val="24"/>
                <w:szCs w:val="24"/>
              </w:rPr>
            </w:pPr>
            <w:r>
              <w:rPr>
                <w:rFonts w:ascii="Times New Roman" w:hAnsi="Times New Roman" w:eastAsia="楷体"/>
                <w:sz w:val="24"/>
                <w:szCs w:val="24"/>
              </w:rPr>
              <w:sym w:font="Wingdings" w:char="F0A8"/>
            </w:r>
            <w:r>
              <w:rPr>
                <w:rFonts w:ascii="Times New Roman" w:hAnsi="Times New Roman" w:eastAsia="楷体"/>
                <w:sz w:val="24"/>
                <w:szCs w:val="24"/>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spacing w:line="500" w:lineRule="exact"/>
              <w:rPr>
                <w:rFonts w:ascii="Times New Roman" w:hAnsi="Times New Roman" w:eastAsia="楷体"/>
                <w:b/>
                <w:sz w:val="24"/>
                <w:szCs w:val="24"/>
              </w:rPr>
            </w:pPr>
          </w:p>
        </w:tc>
        <w:tc>
          <w:tcPr>
            <w:tcW w:w="6949" w:type="dxa"/>
            <w:gridSpan w:val="2"/>
          </w:tcPr>
          <w:p>
            <w:pPr>
              <w:spacing w:line="500" w:lineRule="exact"/>
              <w:rPr>
                <w:rFonts w:ascii="Times New Roman" w:hAnsi="Times New Roman" w:eastAsia="楷体"/>
                <w:sz w:val="24"/>
                <w:szCs w:val="24"/>
              </w:rPr>
            </w:pPr>
            <w:r>
              <w:rPr>
                <w:rFonts w:ascii="Times New Roman" w:hAnsi="Times New Roman" w:eastAsia="楷体"/>
                <w:sz w:val="24"/>
                <w:szCs w:val="24"/>
              </w:rPr>
              <w:sym w:font="Wingdings" w:char="F0A8"/>
            </w:r>
            <w:r>
              <w:rPr>
                <w:rFonts w:ascii="Times New Roman" w:hAnsi="Times New Roman" w:eastAsia="楷体"/>
                <w:sz w:val="24"/>
                <w:szCs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tcPr>
          <w:p>
            <w:pPr>
              <w:spacing w:line="500" w:lineRule="exact"/>
              <w:rPr>
                <w:rFonts w:ascii="Times New Roman" w:hAnsi="Times New Roman" w:eastAsia="楷体"/>
                <w:b/>
                <w:sz w:val="24"/>
                <w:szCs w:val="24"/>
              </w:rPr>
            </w:pPr>
          </w:p>
        </w:tc>
        <w:tc>
          <w:tcPr>
            <w:tcW w:w="6949" w:type="dxa"/>
            <w:gridSpan w:val="2"/>
          </w:tcPr>
          <w:p>
            <w:pPr>
              <w:spacing w:line="500" w:lineRule="exact"/>
              <w:rPr>
                <w:rFonts w:ascii="Times New Roman" w:hAnsi="Times New Roman" w:eastAsia="楷体"/>
                <w:sz w:val="24"/>
                <w:szCs w:val="24"/>
              </w:rPr>
            </w:pPr>
            <w:r>
              <w:rPr>
                <w:rFonts w:ascii="Times New Roman" w:hAnsi="Times New Roman" w:eastAsia="楷体"/>
                <w:sz w:val="24"/>
                <w:szCs w:val="24"/>
              </w:rPr>
              <w:sym w:font="Wingdings" w:char="F0A8"/>
            </w:r>
            <w:r>
              <w:rPr>
                <w:rFonts w:ascii="Times New Roman" w:hAnsi="Times New Roman" w:eastAsia="楷体"/>
                <w:sz w:val="24"/>
                <w:szCs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spacing w:line="500" w:lineRule="exact"/>
              <w:rPr>
                <w:rFonts w:ascii="Times New Roman" w:hAnsi="Times New Roman" w:eastAsia="楷体"/>
                <w:b/>
                <w:sz w:val="24"/>
                <w:szCs w:val="24"/>
              </w:rPr>
            </w:pPr>
          </w:p>
        </w:tc>
        <w:tc>
          <w:tcPr>
            <w:tcW w:w="6949" w:type="dxa"/>
            <w:gridSpan w:val="2"/>
          </w:tcPr>
          <w:p>
            <w:pPr>
              <w:spacing w:line="500" w:lineRule="exact"/>
              <w:rPr>
                <w:rFonts w:ascii="Times New Roman" w:hAnsi="Times New Roman" w:eastAsia="楷体"/>
                <w:sz w:val="24"/>
                <w:szCs w:val="24"/>
              </w:rPr>
            </w:pPr>
            <w:r>
              <w:rPr>
                <w:rFonts w:ascii="Times New Roman" w:hAnsi="Times New Roman" w:eastAsia="楷体"/>
                <w:sz w:val="24"/>
                <w:szCs w:val="24"/>
              </w:rPr>
              <w:sym w:font="Wingdings" w:char="F0A8"/>
            </w:r>
            <w:r>
              <w:rPr>
                <w:rFonts w:ascii="Times New Roman" w:hAnsi="Times New Roman" w:eastAsia="楷体"/>
                <w:sz w:val="24"/>
                <w:szCs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spacing w:line="500" w:lineRule="exact"/>
              <w:rPr>
                <w:rFonts w:ascii="Times New Roman" w:hAnsi="Times New Roman" w:eastAsia="楷体"/>
                <w:b/>
                <w:sz w:val="24"/>
                <w:szCs w:val="24"/>
              </w:rPr>
            </w:pPr>
          </w:p>
        </w:tc>
        <w:tc>
          <w:tcPr>
            <w:tcW w:w="6949" w:type="dxa"/>
            <w:gridSpan w:val="2"/>
          </w:tcPr>
          <w:p>
            <w:pPr>
              <w:spacing w:line="500" w:lineRule="exact"/>
              <w:rPr>
                <w:rFonts w:ascii="Times New Roman" w:hAnsi="Times New Roman" w:eastAsia="楷体"/>
                <w:sz w:val="24"/>
                <w:szCs w:val="24"/>
              </w:rPr>
            </w:pPr>
            <w:r>
              <w:rPr>
                <w:rFonts w:ascii="Times New Roman" w:hAnsi="Times New Roman" w:eastAsia="楷体"/>
                <w:sz w:val="24"/>
                <w:szCs w:val="24"/>
              </w:rPr>
              <w:sym w:font="Wingdings" w:char="F0A8"/>
            </w:r>
            <w:r>
              <w:rPr>
                <w:rFonts w:ascii="Times New Roman" w:hAnsi="Times New Roman" w:eastAsia="楷体"/>
                <w:sz w:val="24"/>
                <w:szCs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8" w:hRule="atLeast"/>
        </w:trPr>
        <w:tc>
          <w:tcPr>
            <w:tcW w:w="1809" w:type="dxa"/>
            <w:shd w:val="clear" w:color="auto" w:fill="D9D9D9"/>
          </w:tcPr>
          <w:p>
            <w:pPr>
              <w:spacing w:line="500" w:lineRule="exact"/>
              <w:rPr>
                <w:rFonts w:ascii="Times New Roman" w:hAnsi="Times New Roman" w:eastAsia="楷体"/>
                <w:b/>
                <w:sz w:val="24"/>
                <w:szCs w:val="24"/>
              </w:rPr>
            </w:pPr>
            <w:r>
              <w:rPr>
                <w:rFonts w:ascii="Times New Roman" w:hAnsi="Times New Roman" w:eastAsia="楷体"/>
                <w:b/>
                <w:sz w:val="24"/>
                <w:szCs w:val="24"/>
              </w:rPr>
              <w:t>备注</w:t>
            </w:r>
          </w:p>
        </w:tc>
        <w:tc>
          <w:tcPr>
            <w:tcW w:w="6949" w:type="dxa"/>
            <w:gridSpan w:val="2"/>
          </w:tcPr>
          <w:p>
            <w:pPr>
              <w:rPr>
                <w:rFonts w:ascii="Times New Roman" w:hAnsi="Times New Roman" w:eastAsia="楷体"/>
                <w:sz w:val="24"/>
                <w:szCs w:val="24"/>
              </w:rPr>
            </w:pPr>
            <w:r>
              <w:rPr>
                <w:rFonts w:hint="eastAsia" w:ascii="Times New Roman" w:hAnsi="Times New Roman" w:eastAsia="楷体"/>
                <w:sz w:val="24"/>
                <w:szCs w:val="24"/>
              </w:rPr>
              <w:t>本项集中所涉相关市场为：</w:t>
            </w:r>
          </w:p>
          <w:tbl>
            <w:tblPr>
              <w:tblStyle w:val="7"/>
              <w:tblpPr w:leftFromText="180" w:rightFromText="18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6"/>
              <w:gridCol w:w="1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16" w:type="dxa"/>
                </w:tcPr>
                <w:p>
                  <w:pPr>
                    <w:jc w:val="center"/>
                    <w:rPr>
                      <w:rFonts w:ascii="Times New Roman" w:hAnsi="Times New Roman" w:eastAsia="楷体"/>
                      <w:b/>
                      <w:bCs/>
                      <w:sz w:val="24"/>
                      <w:szCs w:val="24"/>
                    </w:rPr>
                  </w:pPr>
                  <w:r>
                    <w:rPr>
                      <w:rFonts w:hint="eastAsia" w:ascii="Times New Roman" w:hAnsi="Times New Roman" w:eastAsia="楷体"/>
                      <w:b/>
                      <w:bCs/>
                      <w:sz w:val="24"/>
                      <w:szCs w:val="24"/>
                    </w:rPr>
                    <w:t>相关商品市场</w:t>
                  </w:r>
                </w:p>
              </w:tc>
              <w:tc>
                <w:tcPr>
                  <w:tcW w:w="1843" w:type="dxa"/>
                </w:tcPr>
                <w:p>
                  <w:pPr>
                    <w:jc w:val="center"/>
                    <w:rPr>
                      <w:rFonts w:ascii="Times New Roman" w:hAnsi="Times New Roman" w:eastAsia="楷体"/>
                      <w:b/>
                      <w:bCs/>
                      <w:sz w:val="24"/>
                      <w:szCs w:val="24"/>
                    </w:rPr>
                  </w:pPr>
                  <w:r>
                    <w:rPr>
                      <w:rFonts w:hint="eastAsia" w:ascii="Times New Roman" w:hAnsi="Times New Roman" w:eastAsia="楷体"/>
                      <w:b/>
                      <w:bCs/>
                      <w:sz w:val="24"/>
                      <w:szCs w:val="24"/>
                    </w:rPr>
                    <w:t>相关地域市场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6" w:type="dxa"/>
                </w:tcPr>
                <w:p>
                  <w:pPr>
                    <w:rPr>
                      <w:rFonts w:ascii="Times New Roman" w:hAnsi="Times New Roman" w:eastAsia="楷体"/>
                      <w:sz w:val="24"/>
                      <w:szCs w:val="24"/>
                    </w:rPr>
                  </w:pPr>
                  <w:r>
                    <w:rPr>
                      <w:rFonts w:hint="eastAsia" w:ascii="Times New Roman" w:hAnsi="Times New Roman" w:eastAsia="楷体"/>
                      <w:sz w:val="24"/>
                      <w:szCs w:val="24"/>
                    </w:rPr>
                    <w:t>专用无线通信系统集成服务</w:t>
                  </w:r>
                </w:p>
              </w:tc>
              <w:tc>
                <w:tcPr>
                  <w:tcW w:w="1843" w:type="dxa"/>
                </w:tcPr>
                <w:p>
                  <w:pPr>
                    <w:rPr>
                      <w:rFonts w:ascii="Times New Roman" w:hAnsi="Times New Roman" w:eastAsia="楷体"/>
                      <w:sz w:val="24"/>
                      <w:szCs w:val="24"/>
                    </w:rPr>
                  </w:pPr>
                  <w:r>
                    <w:rPr>
                      <w:rFonts w:hint="eastAsia" w:ascii="Times New Roman" w:hAnsi="Times New Roman" w:eastAsia="楷体"/>
                      <w:sz w:val="24"/>
                      <w:szCs w:val="24"/>
                    </w:rPr>
                    <w:t>中国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6" w:type="dxa"/>
                </w:tcPr>
                <w:p>
                  <w:pPr>
                    <w:rPr>
                      <w:rFonts w:ascii="Times New Roman" w:hAnsi="Times New Roman" w:eastAsia="楷体"/>
                      <w:sz w:val="24"/>
                      <w:szCs w:val="24"/>
                    </w:rPr>
                  </w:pPr>
                  <w:r>
                    <w:rPr>
                      <w:rFonts w:hint="eastAsia" w:ascii="Times New Roman" w:hAnsi="Times New Roman" w:eastAsia="楷体"/>
                      <w:sz w:val="24"/>
                      <w:szCs w:val="24"/>
                    </w:rPr>
                    <w:t>智慧城市系统集成服务</w:t>
                  </w:r>
                </w:p>
              </w:tc>
              <w:tc>
                <w:tcPr>
                  <w:tcW w:w="1843" w:type="dxa"/>
                </w:tcPr>
                <w:p>
                  <w:pPr>
                    <w:rPr>
                      <w:rFonts w:ascii="Times New Roman" w:hAnsi="Times New Roman" w:eastAsia="楷体"/>
                      <w:sz w:val="24"/>
                      <w:szCs w:val="24"/>
                    </w:rPr>
                  </w:pPr>
                  <w:r>
                    <w:rPr>
                      <w:rFonts w:hint="eastAsia" w:ascii="Times New Roman" w:hAnsi="Times New Roman" w:eastAsia="楷体"/>
                      <w:sz w:val="24"/>
                      <w:szCs w:val="24"/>
                    </w:rPr>
                    <w:t>中国</w:t>
                  </w:r>
                </w:p>
              </w:tc>
            </w:tr>
          </w:tbl>
          <w:p>
            <w:pPr>
              <w:rPr>
                <w:rFonts w:ascii="Times New Roman" w:hAnsi="Times New Roman" w:eastAsia="楷体"/>
                <w:sz w:val="24"/>
                <w:szCs w:val="24"/>
              </w:rPr>
            </w:pPr>
          </w:p>
          <w:p>
            <w:pPr>
              <w:rPr>
                <w:rFonts w:ascii="Times New Roman" w:hAnsi="Times New Roman" w:eastAsia="楷体"/>
                <w:sz w:val="24"/>
                <w:szCs w:val="24"/>
              </w:rPr>
            </w:pPr>
          </w:p>
          <w:p>
            <w:pPr>
              <w:rPr>
                <w:rFonts w:ascii="Times New Roman" w:hAnsi="Times New Roman" w:eastAsia="楷体"/>
                <w:sz w:val="24"/>
                <w:szCs w:val="24"/>
              </w:rPr>
            </w:pPr>
          </w:p>
          <w:p>
            <w:pPr>
              <w:rPr>
                <w:rFonts w:ascii="Times New Roman" w:hAnsi="Times New Roman" w:eastAsia="楷体"/>
                <w:sz w:val="24"/>
                <w:szCs w:val="24"/>
              </w:rPr>
            </w:pPr>
          </w:p>
          <w:p>
            <w:pPr>
              <w:rPr>
                <w:rFonts w:ascii="Times New Roman" w:hAnsi="Times New Roman" w:eastAsia="楷体"/>
                <w:sz w:val="24"/>
                <w:szCs w:val="24"/>
              </w:rPr>
            </w:pPr>
          </w:p>
          <w:p>
            <w:pPr>
              <w:rPr>
                <w:rFonts w:ascii="Times New Roman" w:hAnsi="Times New Roman" w:eastAsia="楷体"/>
                <w:sz w:val="24"/>
                <w:szCs w:val="24"/>
              </w:rPr>
            </w:pPr>
            <w:r>
              <w:rPr>
                <w:rFonts w:hint="eastAsia" w:ascii="Times New Roman" w:hAnsi="Times New Roman" w:eastAsia="楷体"/>
                <w:sz w:val="24"/>
                <w:szCs w:val="24"/>
              </w:rPr>
              <w:t>参与集中的经营者在相关市场中的市场份额分别为：</w:t>
            </w:r>
          </w:p>
          <w:tbl>
            <w:tblPr>
              <w:tblStyle w:val="7"/>
              <w:tblpPr w:leftFromText="180" w:rightFromText="18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1"/>
              <w:gridCol w:w="1723"/>
              <w:gridCol w:w="1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1" w:type="dxa"/>
                  <w:vAlign w:val="center"/>
                </w:tcPr>
                <w:p>
                  <w:pPr>
                    <w:jc w:val="center"/>
                    <w:rPr>
                      <w:rFonts w:ascii="Times New Roman" w:hAnsi="Times New Roman" w:eastAsia="楷体"/>
                      <w:b/>
                      <w:bCs/>
                      <w:sz w:val="24"/>
                      <w:szCs w:val="24"/>
                    </w:rPr>
                  </w:pPr>
                  <w:r>
                    <w:rPr>
                      <w:rFonts w:hint="eastAsia" w:ascii="Times New Roman" w:hAnsi="Times New Roman" w:eastAsia="楷体"/>
                      <w:b/>
                      <w:bCs/>
                      <w:sz w:val="24"/>
                      <w:szCs w:val="24"/>
                    </w:rPr>
                    <w:t>相关市场</w:t>
                  </w:r>
                </w:p>
              </w:tc>
              <w:tc>
                <w:tcPr>
                  <w:tcW w:w="1723" w:type="dxa"/>
                  <w:vAlign w:val="center"/>
                </w:tcPr>
                <w:p>
                  <w:pPr>
                    <w:jc w:val="center"/>
                    <w:rPr>
                      <w:rFonts w:ascii="Times New Roman" w:hAnsi="Times New Roman" w:eastAsia="楷体"/>
                      <w:b/>
                      <w:bCs/>
                      <w:sz w:val="24"/>
                      <w:szCs w:val="24"/>
                    </w:rPr>
                  </w:pPr>
                  <w:r>
                    <w:rPr>
                      <w:rFonts w:hint="eastAsia" w:ascii="Times New Roman" w:hAnsi="Times New Roman" w:eastAsia="楷体"/>
                      <w:b/>
                      <w:bCs/>
                      <w:sz w:val="24"/>
                      <w:szCs w:val="24"/>
                    </w:rPr>
                    <w:t>中国电科</w:t>
                  </w:r>
                </w:p>
              </w:tc>
              <w:tc>
                <w:tcPr>
                  <w:tcW w:w="1985" w:type="dxa"/>
                  <w:vAlign w:val="center"/>
                </w:tcPr>
                <w:p>
                  <w:pPr>
                    <w:jc w:val="center"/>
                    <w:rPr>
                      <w:rFonts w:ascii="Times New Roman" w:hAnsi="Times New Roman" w:eastAsia="楷体"/>
                      <w:b/>
                      <w:bCs/>
                      <w:sz w:val="24"/>
                      <w:szCs w:val="24"/>
                    </w:rPr>
                  </w:pPr>
                  <w:r>
                    <w:rPr>
                      <w:rFonts w:hint="eastAsia" w:ascii="Times New Roman" w:hAnsi="Times New Roman" w:eastAsia="楷体"/>
                      <w:b/>
                      <w:bCs/>
                      <w:sz w:val="24"/>
                      <w:szCs w:val="24"/>
                    </w:rPr>
                    <w:t>中国普天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1" w:type="dxa"/>
                </w:tcPr>
                <w:p>
                  <w:pPr>
                    <w:rPr>
                      <w:rFonts w:ascii="Times New Roman" w:hAnsi="Times New Roman" w:eastAsia="楷体"/>
                      <w:sz w:val="24"/>
                      <w:szCs w:val="24"/>
                    </w:rPr>
                  </w:pPr>
                  <w:r>
                    <w:rPr>
                      <w:rFonts w:hint="eastAsia" w:ascii="Times New Roman" w:hAnsi="Times New Roman" w:eastAsia="楷体"/>
                      <w:sz w:val="24"/>
                      <w:szCs w:val="24"/>
                    </w:rPr>
                    <w:t>中国专用无线通信系统集成服务市场</w:t>
                  </w:r>
                </w:p>
              </w:tc>
              <w:tc>
                <w:tcPr>
                  <w:tcW w:w="1723" w:type="dxa"/>
                </w:tcPr>
                <w:p>
                  <w:pPr>
                    <w:rPr>
                      <w:rFonts w:ascii="Times New Roman" w:hAnsi="Times New Roman" w:eastAsia="楷体"/>
                      <w:sz w:val="24"/>
                      <w:szCs w:val="24"/>
                    </w:rPr>
                  </w:pPr>
                  <w:r>
                    <w:rPr>
                      <w:rFonts w:ascii="Times New Roman" w:hAnsi="Times New Roman" w:eastAsia="楷体"/>
                      <w:sz w:val="24"/>
                      <w:szCs w:val="24"/>
                    </w:rPr>
                    <w:t>5</w:t>
                  </w:r>
                  <w:r>
                    <w:rPr>
                      <w:rFonts w:hint="eastAsia" w:ascii="Times New Roman" w:hAnsi="Times New Roman" w:eastAsia="楷体"/>
                      <w:sz w:val="24"/>
                      <w:szCs w:val="24"/>
                    </w:rPr>
                    <w:t>~</w:t>
                  </w:r>
                  <w:r>
                    <w:rPr>
                      <w:rFonts w:ascii="Times New Roman" w:hAnsi="Times New Roman" w:eastAsia="楷体"/>
                      <w:sz w:val="24"/>
                      <w:szCs w:val="24"/>
                    </w:rPr>
                    <w:t>10%</w:t>
                  </w:r>
                </w:p>
              </w:tc>
              <w:tc>
                <w:tcPr>
                  <w:tcW w:w="1985" w:type="dxa"/>
                </w:tcPr>
                <w:p>
                  <w:pPr>
                    <w:rPr>
                      <w:rFonts w:ascii="Times New Roman" w:hAnsi="Times New Roman" w:eastAsia="楷体"/>
                      <w:sz w:val="24"/>
                      <w:szCs w:val="24"/>
                    </w:rPr>
                  </w:pPr>
                  <w:r>
                    <w:rPr>
                      <w:rFonts w:hint="eastAsia" w:ascii="Times New Roman" w:hAnsi="Times New Roman" w:eastAsia="楷体"/>
                      <w:sz w:val="24"/>
                      <w:szCs w:val="24"/>
                    </w:rPr>
                    <w:t>0~</w:t>
                  </w:r>
                  <w:r>
                    <w:rPr>
                      <w:rFonts w:ascii="Times New Roman" w:hAnsi="Times New Roman" w:eastAsia="楷体"/>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1" w:type="dxa"/>
                </w:tcPr>
                <w:p>
                  <w:pPr>
                    <w:rPr>
                      <w:rFonts w:ascii="Times New Roman" w:hAnsi="Times New Roman" w:eastAsia="楷体"/>
                      <w:sz w:val="24"/>
                      <w:szCs w:val="24"/>
                    </w:rPr>
                  </w:pPr>
                  <w:r>
                    <w:rPr>
                      <w:rFonts w:hint="eastAsia" w:ascii="Times New Roman" w:hAnsi="Times New Roman" w:eastAsia="楷体"/>
                      <w:sz w:val="24"/>
                      <w:szCs w:val="24"/>
                    </w:rPr>
                    <w:t>中国智慧城市系统集成服务市场</w:t>
                  </w:r>
                </w:p>
              </w:tc>
              <w:tc>
                <w:tcPr>
                  <w:tcW w:w="1723" w:type="dxa"/>
                </w:tcPr>
                <w:p>
                  <w:pPr>
                    <w:rPr>
                      <w:rFonts w:ascii="Times New Roman" w:hAnsi="Times New Roman" w:eastAsia="楷体"/>
                      <w:sz w:val="24"/>
                      <w:szCs w:val="24"/>
                    </w:rPr>
                  </w:pPr>
                  <w:r>
                    <w:rPr>
                      <w:rFonts w:hint="eastAsia" w:ascii="Times New Roman" w:hAnsi="Times New Roman" w:eastAsia="楷体"/>
                      <w:sz w:val="24"/>
                      <w:szCs w:val="24"/>
                    </w:rPr>
                    <w:t>0~</w:t>
                  </w:r>
                  <w:r>
                    <w:rPr>
                      <w:rFonts w:ascii="Times New Roman" w:hAnsi="Times New Roman" w:eastAsia="楷体"/>
                      <w:sz w:val="24"/>
                      <w:szCs w:val="24"/>
                    </w:rPr>
                    <w:t>5%</w:t>
                  </w:r>
                </w:p>
              </w:tc>
              <w:tc>
                <w:tcPr>
                  <w:tcW w:w="1985" w:type="dxa"/>
                </w:tcPr>
                <w:p>
                  <w:pPr>
                    <w:rPr>
                      <w:rFonts w:ascii="Times New Roman" w:hAnsi="Times New Roman" w:eastAsia="楷体"/>
                      <w:sz w:val="24"/>
                      <w:szCs w:val="24"/>
                    </w:rPr>
                  </w:pPr>
                  <w:r>
                    <w:rPr>
                      <w:rFonts w:hint="eastAsia" w:ascii="Times New Roman" w:hAnsi="Times New Roman" w:eastAsia="楷体"/>
                      <w:sz w:val="24"/>
                      <w:szCs w:val="24"/>
                    </w:rPr>
                    <w:t>0~</w:t>
                  </w:r>
                  <w:r>
                    <w:rPr>
                      <w:rFonts w:ascii="Times New Roman" w:hAnsi="Times New Roman" w:eastAsia="楷体"/>
                      <w:sz w:val="24"/>
                      <w:szCs w:val="24"/>
                    </w:rPr>
                    <w:t>5%</w:t>
                  </w:r>
                </w:p>
              </w:tc>
            </w:tr>
          </w:tbl>
          <w:p>
            <w:pPr>
              <w:spacing w:line="500" w:lineRule="exact"/>
              <w:rPr>
                <w:rFonts w:ascii="Times New Roman" w:hAnsi="Times New Roman" w:eastAsia="楷体"/>
                <w:sz w:val="24"/>
                <w:szCs w:val="24"/>
              </w:rPr>
            </w:pPr>
          </w:p>
        </w:tc>
      </w:tr>
    </w:tbl>
    <w:p>
      <w:pPr>
        <w:ind w:firstLine="480" w:firstLineChars="200"/>
        <w:rPr>
          <w:rFonts w:ascii="Times New Roman" w:hAnsi="Times New Roman" w:eastAsia="楷体"/>
          <w:sz w:val="24"/>
          <w:szCs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2BB4"/>
    <w:rsid w:val="00007B14"/>
    <w:rsid w:val="0002190B"/>
    <w:rsid w:val="00023510"/>
    <w:rsid w:val="00045966"/>
    <w:rsid w:val="000550C5"/>
    <w:rsid w:val="000675A7"/>
    <w:rsid w:val="000717EF"/>
    <w:rsid w:val="00081C11"/>
    <w:rsid w:val="00094095"/>
    <w:rsid w:val="000A7223"/>
    <w:rsid w:val="000B347D"/>
    <w:rsid w:val="000C0828"/>
    <w:rsid w:val="000E1188"/>
    <w:rsid w:val="00113024"/>
    <w:rsid w:val="00113F95"/>
    <w:rsid w:val="00115F2B"/>
    <w:rsid w:val="001469CA"/>
    <w:rsid w:val="001530C8"/>
    <w:rsid w:val="00172D73"/>
    <w:rsid w:val="00174A37"/>
    <w:rsid w:val="00181E00"/>
    <w:rsid w:val="001A1F68"/>
    <w:rsid w:val="001B0A02"/>
    <w:rsid w:val="001D60C2"/>
    <w:rsid w:val="001D6EEA"/>
    <w:rsid w:val="001E6C23"/>
    <w:rsid w:val="001E72E6"/>
    <w:rsid w:val="001F0974"/>
    <w:rsid w:val="001F5350"/>
    <w:rsid w:val="00212883"/>
    <w:rsid w:val="00233B32"/>
    <w:rsid w:val="00242187"/>
    <w:rsid w:val="00245776"/>
    <w:rsid w:val="00251FFF"/>
    <w:rsid w:val="0027728C"/>
    <w:rsid w:val="002813E3"/>
    <w:rsid w:val="0029266B"/>
    <w:rsid w:val="002A0992"/>
    <w:rsid w:val="002A2976"/>
    <w:rsid w:val="002A2A64"/>
    <w:rsid w:val="002A5221"/>
    <w:rsid w:val="002B769E"/>
    <w:rsid w:val="002B7E1E"/>
    <w:rsid w:val="002C0878"/>
    <w:rsid w:val="002C150A"/>
    <w:rsid w:val="002C2E9A"/>
    <w:rsid w:val="002C62AF"/>
    <w:rsid w:val="002D1F86"/>
    <w:rsid w:val="002D3E80"/>
    <w:rsid w:val="002F2D60"/>
    <w:rsid w:val="00307976"/>
    <w:rsid w:val="00344CBE"/>
    <w:rsid w:val="00372412"/>
    <w:rsid w:val="003774E4"/>
    <w:rsid w:val="003B4AF2"/>
    <w:rsid w:val="003C4E9F"/>
    <w:rsid w:val="003E60C3"/>
    <w:rsid w:val="003F3F2D"/>
    <w:rsid w:val="0041069A"/>
    <w:rsid w:val="004203A2"/>
    <w:rsid w:val="00436C0C"/>
    <w:rsid w:val="00462174"/>
    <w:rsid w:val="00466906"/>
    <w:rsid w:val="004A6517"/>
    <w:rsid w:val="004A72D5"/>
    <w:rsid w:val="004B048E"/>
    <w:rsid w:val="004D1A60"/>
    <w:rsid w:val="004D1C88"/>
    <w:rsid w:val="00505C65"/>
    <w:rsid w:val="005608A8"/>
    <w:rsid w:val="00563F1C"/>
    <w:rsid w:val="005818C2"/>
    <w:rsid w:val="00586928"/>
    <w:rsid w:val="00587541"/>
    <w:rsid w:val="005A5B31"/>
    <w:rsid w:val="005B2A20"/>
    <w:rsid w:val="005B2A61"/>
    <w:rsid w:val="005D3977"/>
    <w:rsid w:val="005E3C20"/>
    <w:rsid w:val="005F167B"/>
    <w:rsid w:val="006041D2"/>
    <w:rsid w:val="006100B9"/>
    <w:rsid w:val="00610AE9"/>
    <w:rsid w:val="00631D04"/>
    <w:rsid w:val="006403E9"/>
    <w:rsid w:val="00644282"/>
    <w:rsid w:val="006472DE"/>
    <w:rsid w:val="006557DC"/>
    <w:rsid w:val="006619D6"/>
    <w:rsid w:val="006C59FA"/>
    <w:rsid w:val="006D069E"/>
    <w:rsid w:val="006D1520"/>
    <w:rsid w:val="006D36E3"/>
    <w:rsid w:val="006E538B"/>
    <w:rsid w:val="006E694C"/>
    <w:rsid w:val="006F488C"/>
    <w:rsid w:val="00706527"/>
    <w:rsid w:val="00706B49"/>
    <w:rsid w:val="00706C14"/>
    <w:rsid w:val="007421E3"/>
    <w:rsid w:val="00760695"/>
    <w:rsid w:val="00780DAA"/>
    <w:rsid w:val="00784A67"/>
    <w:rsid w:val="007A023D"/>
    <w:rsid w:val="007C0297"/>
    <w:rsid w:val="007D4D02"/>
    <w:rsid w:val="007E07D5"/>
    <w:rsid w:val="00806E95"/>
    <w:rsid w:val="008356DA"/>
    <w:rsid w:val="00836E2D"/>
    <w:rsid w:val="008528E4"/>
    <w:rsid w:val="00852CB4"/>
    <w:rsid w:val="00862608"/>
    <w:rsid w:val="008721F6"/>
    <w:rsid w:val="00886997"/>
    <w:rsid w:val="008A21F2"/>
    <w:rsid w:val="008A3827"/>
    <w:rsid w:val="008A70B2"/>
    <w:rsid w:val="008B2DDF"/>
    <w:rsid w:val="008D3D13"/>
    <w:rsid w:val="008E34BF"/>
    <w:rsid w:val="008E5233"/>
    <w:rsid w:val="008E53BB"/>
    <w:rsid w:val="00955419"/>
    <w:rsid w:val="009809D9"/>
    <w:rsid w:val="009910F5"/>
    <w:rsid w:val="009A0D9E"/>
    <w:rsid w:val="009B5F0D"/>
    <w:rsid w:val="009B68C5"/>
    <w:rsid w:val="009C7A6D"/>
    <w:rsid w:val="009D344D"/>
    <w:rsid w:val="009E42AF"/>
    <w:rsid w:val="009E66B3"/>
    <w:rsid w:val="009F50D7"/>
    <w:rsid w:val="00A03B12"/>
    <w:rsid w:val="00A1517B"/>
    <w:rsid w:val="00A15F64"/>
    <w:rsid w:val="00A41B45"/>
    <w:rsid w:val="00A665BC"/>
    <w:rsid w:val="00A87FEF"/>
    <w:rsid w:val="00A9684C"/>
    <w:rsid w:val="00AA0D58"/>
    <w:rsid w:val="00AB5008"/>
    <w:rsid w:val="00AC4929"/>
    <w:rsid w:val="00AC6ECA"/>
    <w:rsid w:val="00AD0AE2"/>
    <w:rsid w:val="00AE4242"/>
    <w:rsid w:val="00B06644"/>
    <w:rsid w:val="00B34F97"/>
    <w:rsid w:val="00B356C9"/>
    <w:rsid w:val="00B43DE3"/>
    <w:rsid w:val="00BA0750"/>
    <w:rsid w:val="00BA5C49"/>
    <w:rsid w:val="00BA625B"/>
    <w:rsid w:val="00BA6300"/>
    <w:rsid w:val="00BA6FC1"/>
    <w:rsid w:val="00BB2377"/>
    <w:rsid w:val="00BD3B0B"/>
    <w:rsid w:val="00BF7086"/>
    <w:rsid w:val="00C21FDF"/>
    <w:rsid w:val="00C2200B"/>
    <w:rsid w:val="00C569EB"/>
    <w:rsid w:val="00C67AC6"/>
    <w:rsid w:val="00C86C98"/>
    <w:rsid w:val="00C9068E"/>
    <w:rsid w:val="00C91A03"/>
    <w:rsid w:val="00CA5F18"/>
    <w:rsid w:val="00CC4B1B"/>
    <w:rsid w:val="00CE537D"/>
    <w:rsid w:val="00CF60DF"/>
    <w:rsid w:val="00D02388"/>
    <w:rsid w:val="00D11C3C"/>
    <w:rsid w:val="00D12436"/>
    <w:rsid w:val="00D21633"/>
    <w:rsid w:val="00D2163D"/>
    <w:rsid w:val="00D21777"/>
    <w:rsid w:val="00D30389"/>
    <w:rsid w:val="00D368E0"/>
    <w:rsid w:val="00D45F07"/>
    <w:rsid w:val="00D671EF"/>
    <w:rsid w:val="00D74F3E"/>
    <w:rsid w:val="00DB5392"/>
    <w:rsid w:val="00DD5AC0"/>
    <w:rsid w:val="00DD7DFA"/>
    <w:rsid w:val="00DF1FF5"/>
    <w:rsid w:val="00DF4497"/>
    <w:rsid w:val="00E02606"/>
    <w:rsid w:val="00E54F55"/>
    <w:rsid w:val="00E67559"/>
    <w:rsid w:val="00E761B9"/>
    <w:rsid w:val="00EC7CC2"/>
    <w:rsid w:val="00ED21B1"/>
    <w:rsid w:val="00EE0E6B"/>
    <w:rsid w:val="00EE3DDA"/>
    <w:rsid w:val="00EF03F5"/>
    <w:rsid w:val="00EF250E"/>
    <w:rsid w:val="00F02E06"/>
    <w:rsid w:val="00F04325"/>
    <w:rsid w:val="00F71627"/>
    <w:rsid w:val="00F730F2"/>
    <w:rsid w:val="00F74404"/>
    <w:rsid w:val="00F80D6E"/>
    <w:rsid w:val="00F85488"/>
    <w:rsid w:val="00F87C1F"/>
    <w:rsid w:val="00FA02FD"/>
    <w:rsid w:val="00FA0C1A"/>
    <w:rsid w:val="00FA395D"/>
    <w:rsid w:val="00FD7A17"/>
    <w:rsid w:val="00FE4003"/>
    <w:rsid w:val="3F0E58E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endnote text"/>
    <w:basedOn w:val="1"/>
    <w:link w:val="10"/>
    <w:semiHidden/>
    <w:unhideWhenUsed/>
    <w:uiPriority w:val="99"/>
    <w:pPr>
      <w:snapToGrid w:val="0"/>
      <w:jc w:val="left"/>
    </w:pPr>
  </w:style>
  <w:style w:type="paragraph" w:styleId="3">
    <w:name w:val="Balloon Text"/>
    <w:basedOn w:val="1"/>
    <w:link w:val="13"/>
    <w:semiHidden/>
    <w:unhideWhenUsed/>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endnote reference"/>
    <w:semiHidden/>
    <w:unhideWhenUsed/>
    <w:qFormat/>
    <w:uiPriority w:val="99"/>
    <w:rPr>
      <w:vertAlign w:val="superscript"/>
    </w:rPr>
  </w:style>
  <w:style w:type="character" w:customStyle="1" w:styleId="10">
    <w:name w:val="尾注文本 字符"/>
    <w:basedOn w:val="8"/>
    <w:link w:val="2"/>
    <w:semiHidden/>
    <w:uiPriority w:val="99"/>
  </w:style>
  <w:style w:type="character" w:customStyle="1" w:styleId="11">
    <w:name w:val="页眉 字符"/>
    <w:link w:val="5"/>
    <w:uiPriority w:val="99"/>
    <w:rPr>
      <w:sz w:val="18"/>
      <w:szCs w:val="18"/>
    </w:rPr>
  </w:style>
  <w:style w:type="character" w:customStyle="1" w:styleId="12">
    <w:name w:val="页脚 字符"/>
    <w:link w:val="4"/>
    <w:qFormat/>
    <w:uiPriority w:val="99"/>
    <w:rPr>
      <w:sz w:val="18"/>
      <w:szCs w:val="18"/>
    </w:rPr>
  </w:style>
  <w:style w:type="character" w:customStyle="1" w:styleId="13">
    <w:name w:val="批注框文本 字符"/>
    <w:link w:val="3"/>
    <w:semiHidden/>
    <w:uiPriority w:val="99"/>
    <w:rPr>
      <w:kern w:val="2"/>
      <w:sz w:val="18"/>
      <w:szCs w:val="18"/>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5.xml"/><Relationship Id="rId7" Type="http://schemas.openxmlformats.org/officeDocument/2006/relationships/customXml" Target="../customXml/item4.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文档" ma:contentTypeID="0x01010026A2BEFD371A2D43AF26B316195BAA8F" ma:contentTypeVersion="2" ma:contentTypeDescription="新建文档。" ma:contentTypeScope="" ma:versionID="b1eecc3491faeb640b7f37cfe9d18cbb">
  <xsd:schema xmlns:xsd="http://www.w3.org/2001/XMLSchema" xmlns:xs="http://www.w3.org/2001/XMLSchema" xmlns:p="http://schemas.microsoft.com/office/2006/metadata/properties" xmlns:ns2="d0400def-d59b-43ac-9ce1-d8ee2e82e940" targetNamespace="http://schemas.microsoft.com/office/2006/metadata/properties" ma:root="true" ma:fieldsID="2eacc22e744b46b031800c01404c57d9" ns2:_="">
    <xsd:import namespace="d0400def-d59b-43ac-9ce1-d8ee2e82e940"/>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00def-d59b-43ac-9ce1-d8ee2e82e940"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AFB6E39-447A-4950-8F89-392CC5031B43}">
  <ds:schemaRefs/>
</ds:datastoreItem>
</file>

<file path=customXml/itemProps3.xml><?xml version="1.0" encoding="utf-8"?>
<ds:datastoreItem xmlns:ds="http://schemas.openxmlformats.org/officeDocument/2006/customXml" ds:itemID="{889FB6B1-8A58-4BC4-812F-48A3C325E0D0}">
  <ds:schemaRefs/>
</ds:datastoreItem>
</file>

<file path=customXml/itemProps4.xml><?xml version="1.0" encoding="utf-8"?>
<ds:datastoreItem xmlns:ds="http://schemas.openxmlformats.org/officeDocument/2006/customXml" ds:itemID="{3B49B086-9B8D-4004-8408-3AC1A9BCF6A2}">
  <ds:schemaRefs/>
</ds:datastoreItem>
</file>

<file path=customXml/itemProps5.xml><?xml version="1.0" encoding="utf-8"?>
<ds:datastoreItem xmlns:ds="http://schemas.openxmlformats.org/officeDocument/2006/customXml" ds:itemID="{4B9C244D-01FD-4B40-81E5-4A83CDA83F05}">
  <ds:schemaRefs/>
</ds:datastoreItem>
</file>

<file path=docProps/app.xml><?xml version="1.0" encoding="utf-8"?>
<Properties xmlns="http://schemas.openxmlformats.org/officeDocument/2006/extended-properties" xmlns:vt="http://schemas.openxmlformats.org/officeDocument/2006/docPropsVTypes">
  <Template>Normal</Template>
  <Company>zhonglun</Company>
  <Pages>2</Pages>
  <Words>190</Words>
  <Characters>1085</Characters>
  <Lines>9</Lines>
  <Paragraphs>2</Paragraphs>
  <TotalTime>50</TotalTime>
  <ScaleCrop>false</ScaleCrop>
  <LinksUpToDate>false</LinksUpToDate>
  <CharactersWithSpaces>1273</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2020-07-27T07:58:00Z</dcterms:created>
  <dc:creator>dell</dc:creator>
  <cp:lastModifiedBy>洪磊</cp:lastModifiedBy>
  <cp:lastPrinted>2014-10-08T02:48:00Z</cp:lastPrinted>
  <dcterms:modified xsi:type="dcterms:W3CDTF">2021-04-14T07:19:40Z</dcterms:modified>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FA6A726D349D472E9777B661A88BD094</vt:lpwstr>
  </property>
</Properties>
</file>