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440" w:lineRule="exact"/>
        <w:jc w:val="center"/>
        <w:rPr>
          <w:rFonts w:ascii="黑体" w:hAnsi="Times New Roman" w:eastAsia="黑体"/>
          <w:sz w:val="30"/>
          <w:szCs w:val="30"/>
        </w:rPr>
      </w:pPr>
      <w:r>
        <w:rPr>
          <w:rFonts w:hint="eastAsia" w:ascii="黑体" w:hAnsi="Times New Roman" w:eastAsia="黑体"/>
          <w:sz w:val="30"/>
          <w:szCs w:val="30"/>
        </w:rPr>
        <w:t>经营者集中简易案件公示表</w:t>
      </w:r>
    </w:p>
    <w:p>
      <w:pPr>
        <w:spacing w:line="440" w:lineRule="exact"/>
        <w:jc w:val="center"/>
        <w:rPr>
          <w:rFonts w:ascii="黑体" w:hAnsi="Times New Roman" w:eastAsia="黑体"/>
          <w:sz w:val="30"/>
          <w:szCs w:val="30"/>
        </w:rPr>
      </w:pPr>
    </w:p>
    <w:tbl>
      <w:tblPr>
        <w:tblStyle w:val="9"/>
        <w:tblW w:w="89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9"/>
        <w:gridCol w:w="1796"/>
        <w:gridCol w:w="532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9" w:type="dxa"/>
            <w:shd w:val="clear" w:color="auto" w:fill="D9D9D9"/>
            <w:vAlign w:val="center"/>
          </w:tcPr>
          <w:p>
            <w:pPr>
              <w:spacing w:line="500" w:lineRule="exact"/>
              <w:jc w:val="center"/>
              <w:rPr>
                <w:rFonts w:ascii="仿宋" w:hAnsi="仿宋" w:eastAsia="仿宋" w:cs="宋体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宋体"/>
                <w:kern w:val="0"/>
                <w:sz w:val="24"/>
                <w:szCs w:val="24"/>
              </w:rPr>
              <w:t>案件名称</w:t>
            </w:r>
          </w:p>
        </w:tc>
        <w:tc>
          <w:tcPr>
            <w:tcW w:w="7117" w:type="dxa"/>
            <w:gridSpan w:val="2"/>
          </w:tcPr>
          <w:p>
            <w:pPr>
              <w:spacing w:line="500" w:lineRule="exact"/>
              <w:rPr>
                <w:rFonts w:ascii="仿宋" w:hAnsi="仿宋" w:eastAsia="仿宋" w:cs="宋体"/>
                <w:kern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</w:rPr>
              <w:t>王子控股株式会社收购王子大洋洲管理株式会社股权案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93" w:hRule="atLeast"/>
        </w:trPr>
        <w:tc>
          <w:tcPr>
            <w:tcW w:w="1809" w:type="dxa"/>
            <w:shd w:val="clear" w:color="auto" w:fill="D9D9D9"/>
            <w:vAlign w:val="center"/>
          </w:tcPr>
          <w:p>
            <w:pPr>
              <w:spacing w:line="500" w:lineRule="exact"/>
              <w:jc w:val="center"/>
              <w:rPr>
                <w:rFonts w:ascii="仿宋" w:hAnsi="仿宋" w:eastAsia="仿宋" w:cs="宋体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宋体"/>
                <w:kern w:val="0"/>
                <w:sz w:val="24"/>
                <w:szCs w:val="24"/>
              </w:rPr>
              <w:t>交易概况</w:t>
            </w:r>
          </w:p>
          <w:p>
            <w:pPr>
              <w:spacing w:line="500" w:lineRule="exact"/>
              <w:jc w:val="center"/>
              <w:rPr>
                <w:rFonts w:ascii="仿宋" w:hAnsi="仿宋" w:eastAsia="仿宋" w:cs="宋体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宋体"/>
                <w:kern w:val="0"/>
                <w:sz w:val="24"/>
                <w:szCs w:val="24"/>
              </w:rPr>
              <w:t>（限200字内）</w:t>
            </w:r>
          </w:p>
        </w:tc>
        <w:tc>
          <w:tcPr>
            <w:tcW w:w="7117" w:type="dxa"/>
            <w:gridSpan w:val="2"/>
          </w:tcPr>
          <w:p>
            <w:pPr>
              <w:spacing w:line="500" w:lineRule="exact"/>
              <w:rPr>
                <w:rFonts w:ascii="仿宋" w:hAnsi="仿宋" w:eastAsia="仿宋" w:cs="宋体"/>
                <w:kern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</w:rPr>
              <w:t>王子控股株式会社（“王子控股”）拟以现金形式收购株式会社INCJ（“INCJ”）所持有的王子大洋洲管理株式会社（“王子大洋洲”）40%股权。交易前，王子控股持有王子大洋洲60%的股权，INCJ持有王子大洋洲40%的股权，王子控股与INCJ共同控制王子大洋洲。交易后，王子控股将取得王子大洋洲的单独控制权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8" w:hRule="atLeast"/>
        </w:trPr>
        <w:tc>
          <w:tcPr>
            <w:tcW w:w="1809" w:type="dxa"/>
            <w:vMerge w:val="restart"/>
            <w:shd w:val="clear" w:color="auto" w:fill="D9D9D9"/>
            <w:vAlign w:val="center"/>
          </w:tcPr>
          <w:p>
            <w:pPr>
              <w:spacing w:line="500" w:lineRule="exact"/>
              <w:jc w:val="center"/>
              <w:rPr>
                <w:rFonts w:ascii="仿宋" w:hAnsi="仿宋" w:eastAsia="仿宋" w:cs="宋体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宋体"/>
                <w:kern w:val="0"/>
                <w:sz w:val="24"/>
                <w:szCs w:val="24"/>
              </w:rPr>
              <w:t>参与集中的</w:t>
            </w:r>
          </w:p>
          <w:p>
            <w:pPr>
              <w:spacing w:line="500" w:lineRule="exact"/>
              <w:jc w:val="center"/>
              <w:rPr>
                <w:rFonts w:ascii="仿宋" w:hAnsi="仿宋" w:eastAsia="仿宋" w:cs="宋体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宋体"/>
                <w:kern w:val="0"/>
                <w:sz w:val="24"/>
                <w:szCs w:val="24"/>
              </w:rPr>
              <w:t>经营者简介</w:t>
            </w:r>
          </w:p>
        </w:tc>
        <w:tc>
          <w:tcPr>
            <w:tcW w:w="1796" w:type="dxa"/>
          </w:tcPr>
          <w:p>
            <w:pPr>
              <w:spacing w:line="500" w:lineRule="exact"/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</w:rPr>
              <w:t>1、王子控股</w:t>
            </w:r>
          </w:p>
        </w:tc>
        <w:tc>
          <w:tcPr>
            <w:tcW w:w="5321" w:type="dxa"/>
          </w:tcPr>
          <w:p>
            <w:pPr>
              <w:spacing w:line="500" w:lineRule="exact"/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</w:rPr>
              <w:t>王子控股位于日本，在全球范围内提供包括纸制品和包装材料等在内的生活用品、功能材料、印刷用纸、资源环境和贸易等服务。王子控股在中国市场有包括“妮飘”生活用纸在内的品牌，先后投资建立或参股了纸袋、纸箱、印刷用纸、空气过滤用品、特种纸等各种纸品以及纸浆、木材的生产销售企业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34" w:hRule="atLeast"/>
        </w:trPr>
        <w:tc>
          <w:tcPr>
            <w:tcW w:w="1809" w:type="dxa"/>
            <w:vMerge w:val="continue"/>
            <w:shd w:val="clear" w:color="auto" w:fill="D9D9D9"/>
            <w:vAlign w:val="center"/>
          </w:tcPr>
          <w:p>
            <w:pPr>
              <w:spacing w:line="500" w:lineRule="exact"/>
              <w:jc w:val="center"/>
              <w:rPr>
                <w:rFonts w:ascii="仿宋" w:hAnsi="仿宋" w:eastAsia="仿宋" w:cs="宋体"/>
                <w:kern w:val="0"/>
                <w:sz w:val="24"/>
                <w:szCs w:val="24"/>
              </w:rPr>
            </w:pPr>
          </w:p>
        </w:tc>
        <w:tc>
          <w:tcPr>
            <w:tcW w:w="1796" w:type="dxa"/>
          </w:tcPr>
          <w:p>
            <w:pPr>
              <w:spacing w:line="500" w:lineRule="exact"/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</w:rPr>
              <w:t>2、王子大洋洲</w:t>
            </w:r>
          </w:p>
        </w:tc>
        <w:tc>
          <w:tcPr>
            <w:tcW w:w="5321" w:type="dxa"/>
          </w:tcPr>
          <w:p>
            <w:pPr>
              <w:spacing w:line="500" w:lineRule="exact"/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</w:rPr>
              <w:t>王子大洋洲及其关联公司在全球范围的主要业务为纸浆</w:t>
            </w:r>
            <w:r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  <w:lang w:eastAsia="zh-CN"/>
              </w:rPr>
              <w:t>、</w:t>
            </w:r>
            <w:bookmarkStart w:id="0" w:name="_GoBack"/>
            <w:bookmarkEnd w:id="0"/>
            <w:r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</w:rPr>
              <w:t>纸箱原纸、纸箱、重包装袋、纸杯的制造，销售及事业的经营和管理等。在中国的主要业务为针叶纸浆和纸板等产品的销售。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9" w:hRule="atLeast"/>
        </w:trPr>
        <w:tc>
          <w:tcPr>
            <w:tcW w:w="1809" w:type="dxa"/>
            <w:vMerge w:val="restart"/>
            <w:shd w:val="clear" w:color="auto" w:fill="D9D9D9"/>
            <w:vAlign w:val="center"/>
          </w:tcPr>
          <w:p>
            <w:pPr>
              <w:spacing w:line="500" w:lineRule="exact"/>
              <w:jc w:val="center"/>
              <w:rPr>
                <w:rFonts w:ascii="仿宋" w:hAnsi="仿宋" w:eastAsia="仿宋" w:cs="宋体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宋体"/>
                <w:kern w:val="0"/>
                <w:sz w:val="24"/>
                <w:szCs w:val="24"/>
              </w:rPr>
              <w:t>简易案件理由（可以单选，也可以多选）</w:t>
            </w:r>
          </w:p>
        </w:tc>
        <w:tc>
          <w:tcPr>
            <w:tcW w:w="7117" w:type="dxa"/>
            <w:gridSpan w:val="2"/>
          </w:tcPr>
          <w:p>
            <w:pPr>
              <w:spacing w:line="500" w:lineRule="exact"/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:szCs w:val="24"/>
              </w:rPr>
              <w:sym w:font="Wingdings" w:char="F0FE"/>
            </w:r>
            <w:r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</w:rPr>
              <w:t>1.在同一相关市场，所有参与集中的经营者所占市场份额之和小于15%。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1809" w:type="dxa"/>
            <w:vMerge w:val="continue"/>
            <w:shd w:val="clear" w:color="auto" w:fill="D9D9D9"/>
            <w:vAlign w:val="center"/>
          </w:tcPr>
          <w:p>
            <w:pPr>
              <w:spacing w:line="500" w:lineRule="exact"/>
              <w:jc w:val="center"/>
              <w:rPr>
                <w:rFonts w:ascii="仿宋" w:hAnsi="仿宋" w:eastAsia="仿宋" w:cs="宋体"/>
                <w:kern w:val="0"/>
                <w:sz w:val="24"/>
                <w:szCs w:val="24"/>
              </w:rPr>
            </w:pPr>
          </w:p>
        </w:tc>
        <w:tc>
          <w:tcPr>
            <w:tcW w:w="7117" w:type="dxa"/>
            <w:gridSpan w:val="2"/>
          </w:tcPr>
          <w:p>
            <w:pPr>
              <w:spacing w:line="500" w:lineRule="exact"/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:szCs w:val="24"/>
              </w:rPr>
              <w:sym w:font="Wingdings" w:char="F0FE"/>
            </w:r>
            <w:r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</w:rPr>
              <w:t>2.存在上下游关系的参与集中的经营者，在上下游市场所占的市场份额均小于25%。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809" w:type="dxa"/>
            <w:vMerge w:val="continue"/>
            <w:shd w:val="clear" w:color="auto" w:fill="D9D9D9"/>
            <w:vAlign w:val="center"/>
          </w:tcPr>
          <w:p>
            <w:pPr>
              <w:spacing w:line="500" w:lineRule="exact"/>
              <w:jc w:val="center"/>
              <w:rPr>
                <w:rFonts w:ascii="仿宋" w:hAnsi="仿宋" w:eastAsia="仿宋" w:cs="宋体"/>
                <w:kern w:val="0"/>
                <w:sz w:val="24"/>
                <w:szCs w:val="24"/>
              </w:rPr>
            </w:pPr>
          </w:p>
        </w:tc>
        <w:tc>
          <w:tcPr>
            <w:tcW w:w="7117" w:type="dxa"/>
            <w:gridSpan w:val="2"/>
          </w:tcPr>
          <w:p>
            <w:pPr>
              <w:spacing w:line="500" w:lineRule="exact"/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</w:rPr>
              <w:t>□3.不在同一相关市场、也不存在上下游关系的参与集中的经营者，在与交易有关的每个市场所占的份额均小于25%。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0" w:hRule="atLeast"/>
        </w:trPr>
        <w:tc>
          <w:tcPr>
            <w:tcW w:w="1809" w:type="dxa"/>
            <w:vMerge w:val="continue"/>
            <w:shd w:val="clear" w:color="auto" w:fill="D9D9D9"/>
            <w:vAlign w:val="center"/>
          </w:tcPr>
          <w:p>
            <w:pPr>
              <w:spacing w:line="500" w:lineRule="exact"/>
              <w:jc w:val="center"/>
              <w:rPr>
                <w:rFonts w:ascii="仿宋" w:hAnsi="仿宋" w:eastAsia="仿宋" w:cs="宋体"/>
                <w:kern w:val="0"/>
                <w:sz w:val="24"/>
                <w:szCs w:val="24"/>
              </w:rPr>
            </w:pPr>
          </w:p>
        </w:tc>
        <w:tc>
          <w:tcPr>
            <w:tcW w:w="7117" w:type="dxa"/>
            <w:gridSpan w:val="2"/>
          </w:tcPr>
          <w:p>
            <w:pPr>
              <w:spacing w:line="500" w:lineRule="exact"/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</w:rPr>
              <w:t>□4.参与集中的经营者在中国境外设立合营企业，合营企业不在中国境内从事经济活动。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4" w:hRule="atLeast"/>
        </w:trPr>
        <w:tc>
          <w:tcPr>
            <w:tcW w:w="1809" w:type="dxa"/>
            <w:vMerge w:val="continue"/>
            <w:shd w:val="clear" w:color="auto" w:fill="D9D9D9"/>
            <w:vAlign w:val="center"/>
          </w:tcPr>
          <w:p>
            <w:pPr>
              <w:spacing w:line="500" w:lineRule="exact"/>
              <w:jc w:val="center"/>
              <w:rPr>
                <w:rFonts w:ascii="仿宋" w:hAnsi="仿宋" w:eastAsia="仿宋" w:cs="宋体"/>
                <w:kern w:val="0"/>
                <w:sz w:val="24"/>
                <w:szCs w:val="24"/>
              </w:rPr>
            </w:pPr>
          </w:p>
        </w:tc>
        <w:tc>
          <w:tcPr>
            <w:tcW w:w="7117" w:type="dxa"/>
            <w:gridSpan w:val="2"/>
          </w:tcPr>
          <w:p>
            <w:pPr>
              <w:spacing w:line="500" w:lineRule="exact"/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</w:rPr>
              <w:t>□5.参与集中的经营者收购境外企业股权或资产的，该境外企业不在中国境内从事经济活动。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5" w:hRule="atLeast"/>
        </w:trPr>
        <w:tc>
          <w:tcPr>
            <w:tcW w:w="1809" w:type="dxa"/>
            <w:vMerge w:val="continue"/>
            <w:shd w:val="clear" w:color="auto" w:fill="D9D9D9"/>
            <w:vAlign w:val="center"/>
          </w:tcPr>
          <w:p>
            <w:pPr>
              <w:spacing w:line="500" w:lineRule="exact"/>
              <w:jc w:val="center"/>
              <w:rPr>
                <w:rFonts w:ascii="仿宋" w:hAnsi="仿宋" w:eastAsia="仿宋" w:cs="宋体"/>
                <w:kern w:val="0"/>
                <w:sz w:val="24"/>
                <w:szCs w:val="24"/>
              </w:rPr>
            </w:pPr>
          </w:p>
        </w:tc>
        <w:tc>
          <w:tcPr>
            <w:tcW w:w="7117" w:type="dxa"/>
            <w:gridSpan w:val="2"/>
          </w:tcPr>
          <w:p>
            <w:pPr>
              <w:spacing w:line="500" w:lineRule="exact"/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:szCs w:val="24"/>
              </w:rPr>
              <w:sym w:font="Wingdings" w:char="F0FE"/>
            </w:r>
            <w:r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</w:rPr>
              <w:t>6.由两个以上的经营者共同控制的合营企业，通过集中被其中一个或一个以上经营者控制。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1" w:hRule="atLeast"/>
        </w:trPr>
        <w:tc>
          <w:tcPr>
            <w:tcW w:w="1809" w:type="dxa"/>
            <w:shd w:val="clear" w:color="auto" w:fill="D9D9D9"/>
            <w:vAlign w:val="center"/>
          </w:tcPr>
          <w:p>
            <w:pPr>
              <w:spacing w:line="500" w:lineRule="exact"/>
              <w:jc w:val="center"/>
              <w:rPr>
                <w:rFonts w:ascii="仿宋" w:hAnsi="仿宋" w:eastAsia="仿宋" w:cs="宋体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宋体"/>
                <w:kern w:val="0"/>
                <w:sz w:val="24"/>
                <w:szCs w:val="24"/>
              </w:rPr>
              <w:t>备注</w:t>
            </w:r>
          </w:p>
          <w:p>
            <w:pPr>
              <w:spacing w:line="500" w:lineRule="exact"/>
              <w:jc w:val="center"/>
              <w:rPr>
                <w:rFonts w:ascii="仿宋" w:hAnsi="仿宋" w:eastAsia="仿宋" w:cs="宋体"/>
                <w:kern w:val="0"/>
                <w:sz w:val="24"/>
                <w:szCs w:val="24"/>
              </w:rPr>
            </w:pPr>
          </w:p>
        </w:tc>
        <w:tc>
          <w:tcPr>
            <w:tcW w:w="7117" w:type="dxa"/>
            <w:gridSpan w:val="2"/>
          </w:tcPr>
          <w:p>
            <w:pPr>
              <w:spacing w:line="500" w:lineRule="exact"/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</w:rPr>
              <w:t xml:space="preserve">1.相关商品市场：漂白硫酸盐针叶浆市场 </w:t>
            </w:r>
          </w:p>
          <w:p>
            <w:pPr>
              <w:spacing w:line="500" w:lineRule="exact"/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</w:rPr>
              <w:t>相关地域市场：全球市场</w:t>
            </w:r>
          </w:p>
          <w:p>
            <w:pPr>
              <w:spacing w:line="500" w:lineRule="exact"/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</w:rPr>
              <w:t>王子控股在相关市场的市场份额为[0%-5%]；</w:t>
            </w:r>
          </w:p>
          <w:p>
            <w:pPr>
              <w:spacing w:line="500" w:lineRule="exact"/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</w:rPr>
              <w:t>王子大洋洲在相关市场的市场份额为[0%-5%]。</w:t>
            </w:r>
          </w:p>
          <w:p>
            <w:pPr>
              <w:spacing w:line="500" w:lineRule="exact"/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</w:rPr>
            </w:pPr>
          </w:p>
          <w:p>
            <w:pPr>
              <w:spacing w:line="500" w:lineRule="exact"/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</w:rPr>
              <w:t xml:space="preserve">2.相关商品市场：未漂白硫酸盐针叶浆市场 </w:t>
            </w:r>
          </w:p>
          <w:p>
            <w:pPr>
              <w:spacing w:line="500" w:lineRule="exact"/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</w:rPr>
              <w:t>相关地域市场：全球市场</w:t>
            </w:r>
          </w:p>
          <w:p>
            <w:pPr>
              <w:spacing w:line="500" w:lineRule="exact"/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</w:rPr>
              <w:t>王子控股在相关市场的市场份额为[0%-5%]；</w:t>
            </w:r>
          </w:p>
          <w:p>
            <w:pPr>
              <w:spacing w:line="500" w:lineRule="exact"/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</w:rPr>
              <w:t>王子大洋洲在相关市场的市场份额为[3%-8%]。</w:t>
            </w:r>
          </w:p>
          <w:p>
            <w:pPr>
              <w:spacing w:line="500" w:lineRule="exact"/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</w:rPr>
            </w:pPr>
          </w:p>
          <w:p>
            <w:pPr>
              <w:spacing w:line="500" w:lineRule="exact"/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</w:rPr>
              <w:t xml:space="preserve">3. 相关商品市场：瓦楞纸板市场 </w:t>
            </w:r>
          </w:p>
          <w:p>
            <w:pPr>
              <w:spacing w:line="500" w:lineRule="exact"/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</w:rPr>
              <w:t>相关地域市场：广州深圳地区商圈（半径200公里，含江门）</w:t>
            </w:r>
          </w:p>
          <w:p>
            <w:pPr>
              <w:spacing w:line="500" w:lineRule="exact"/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</w:rPr>
              <w:t>王子控股在相关市场的市场份额为[0%-5%]；</w:t>
            </w:r>
          </w:p>
          <w:p>
            <w:pPr>
              <w:spacing w:line="500" w:lineRule="exact"/>
              <w:rPr>
                <w:rFonts w:ascii="仿宋" w:hAnsi="仿宋" w:eastAsia="仿宋" w:cs="宋体"/>
                <w:kern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</w:rPr>
              <w:t>王子大洋洲在相关市场的市场份额为[0%-5%]。</w:t>
            </w:r>
          </w:p>
        </w:tc>
      </w:tr>
    </w:tbl>
    <w:p>
      <w:pPr>
        <w:snapToGrid w:val="0"/>
        <w:spacing w:line="240" w:lineRule="exact"/>
        <w:jc w:val="left"/>
        <w:rPr>
          <w:rFonts w:ascii="楷体_GB2312" w:hAnsi="宋体" w:eastAsia="楷体_GB2312"/>
          <w:sz w:val="24"/>
          <w:szCs w:val="24"/>
        </w:rPr>
      </w:pPr>
    </w:p>
    <w:p>
      <w:pPr>
        <w:snapToGrid w:val="0"/>
        <w:spacing w:line="240" w:lineRule="exact"/>
        <w:jc w:val="left"/>
        <w:rPr>
          <w:rFonts w:ascii="方正仿宋_GBK" w:hAnsi="宋体" w:eastAsia="方正仿宋_GBK"/>
          <w:sz w:val="24"/>
          <w:szCs w:val="24"/>
        </w:rPr>
      </w:pPr>
      <w:r>
        <w:rPr>
          <w:rFonts w:hint="eastAsia" w:ascii="方正仿宋_GBK" w:hAnsi="宋体" w:eastAsia="方正仿宋_GBK"/>
          <w:sz w:val="24"/>
          <w:szCs w:val="24"/>
        </w:rPr>
        <w:t>注解：</w:t>
      </w:r>
    </w:p>
    <w:p>
      <w:pPr>
        <w:snapToGrid w:val="0"/>
        <w:spacing w:line="240" w:lineRule="exact"/>
        <w:jc w:val="left"/>
        <w:rPr>
          <w:rFonts w:ascii="方正仿宋_GBK" w:hAnsi="宋体" w:eastAsia="方正仿宋_GBK"/>
          <w:sz w:val="24"/>
          <w:szCs w:val="24"/>
        </w:rPr>
      </w:pPr>
    </w:p>
    <w:p>
      <w:pPr>
        <w:snapToGrid w:val="0"/>
        <w:spacing w:line="360" w:lineRule="auto"/>
        <w:ind w:firstLine="480" w:firstLineChars="200"/>
        <w:jc w:val="left"/>
        <w:rPr>
          <w:rFonts w:ascii="方正仿宋_GBK" w:hAnsi="宋体" w:eastAsia="方正仿宋_GBK"/>
          <w:sz w:val="24"/>
          <w:szCs w:val="24"/>
        </w:rPr>
      </w:pPr>
      <w:r>
        <w:rPr>
          <w:rFonts w:hint="eastAsia" w:ascii="方正仿宋_GBK" w:hAnsi="宋体" w:eastAsia="方正仿宋_GBK"/>
          <w:sz w:val="24"/>
          <w:szCs w:val="24"/>
        </w:rPr>
        <w:t>1.申报方申请简易案件的理由是基于1-3项时，须在备注中说明界定的相关商品市场和相关地域市场（无须阐述界定理由），以及相关市场份额；市场份额可以区间形式提供，区间幅度不应超过5%。1-3项可以多选，也可单选；没有勾选的，视为本集中不涉及该类型交易。</w:t>
      </w:r>
    </w:p>
    <w:p>
      <w:pPr>
        <w:spacing w:line="360" w:lineRule="auto"/>
        <w:ind w:firstLine="480" w:firstLineChars="200"/>
        <w:rPr>
          <w:rFonts w:ascii="方正仿宋_GBK" w:hAnsi="Times New Roman" w:eastAsia="方正仿宋_GBK"/>
          <w:sz w:val="28"/>
          <w:szCs w:val="28"/>
        </w:rPr>
      </w:pPr>
      <w:r>
        <w:rPr>
          <w:rFonts w:hint="eastAsia" w:ascii="方正仿宋_GBK" w:hAnsi="宋体" w:eastAsia="方正仿宋_GBK"/>
          <w:sz w:val="24"/>
          <w:szCs w:val="24"/>
        </w:rPr>
        <w:t>2.申报方申请简易案件的理由是基于第4项、第5项时，无须在备注中说明相关市场和市场份额。</w:t>
      </w:r>
      <w:r>
        <w:rPr>
          <w:rFonts w:hint="eastAsia" w:ascii="方正仿宋_GBK" w:hAnsi="宋体" w:eastAsia="方正仿宋_GBK"/>
          <w:sz w:val="24"/>
          <w:szCs w:val="24"/>
        </w:rPr>
        <w:br w:type="textWrapping"/>
      </w:r>
      <w:r>
        <w:rPr>
          <w:rFonts w:hint="eastAsia" w:ascii="方正仿宋_GBK" w:hAnsi="宋体" w:eastAsia="方正仿宋_GBK"/>
          <w:sz w:val="24"/>
          <w:szCs w:val="24"/>
        </w:rPr>
        <w:t xml:space="preserve">    3.由两个或两个以上经营者共同控制的合营企业，通过集中被其中的一个经营者控制，如果该经营者与合营企业属于同一相关市场的竞争者，则申报方在申请简易案件时，须同时勾选第1项和第6项理由，并在备注中说明界定的相关商品市场和相关地域市场（无须阐述界定理由），以及相关市场份额。市场份额可以区间形式提供，区间幅度不应超过5%。</w:t>
      </w:r>
    </w:p>
    <w:p/>
    <w:p/>
    <w:sectPr>
      <w:footerReference r:id="rId3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080E0000" w:usb2="00000000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00007A87" w:usb1="80000000" w:usb2="00000008" w:usb3="00000000" w:csb0="400001FF" w:csb1="FFFF0000"/>
  </w:font>
  <w:font w:name="黑体">
    <w:panose1 w:val="02010600030101010101"/>
    <w:charset w:val="86"/>
    <w:family w:val="auto"/>
    <w:pitch w:val="default"/>
    <w:sig w:usb0="00000001" w:usb1="080E0000" w:usb2="00000000" w:usb3="00000000" w:csb0="00040000" w:csb1="00000000"/>
  </w:font>
  <w:font w:name="Courier New">
    <w:panose1 w:val="02070309020205020404"/>
    <w:charset w:val="01"/>
    <w:family w:val="modern"/>
    <w:pitch w:val="default"/>
    <w:sig w:usb0="00007A87" w:usb1="80000000" w:usb2="00000008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A00002EF" w:usb1="4000207B" w:usb2="00000000" w:usb3="00000000" w:csb0="2000009F" w:csb1="00000000"/>
  </w:font>
  <w:font w:name="等线">
    <w:altName w:val="Arial Unicode MS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Arial Unicode M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UI">
    <w:altName w:val="Shruti"/>
    <w:panose1 w:val="020B0502040204020203"/>
    <w:charset w:val="00"/>
    <w:family w:val="swiss"/>
    <w:pitch w:val="default"/>
    <w:sig w:usb0="00000000" w:usb1="00000000" w:usb2="00000009" w:usb3="00000000" w:csb0="000001FF" w:csb1="00000000"/>
  </w:font>
  <w:font w:name="仿宋">
    <w:altName w:val="Arial Unicode MS"/>
    <w:panose1 w:val="02010609060101010101"/>
    <w:charset w:val="86"/>
    <w:family w:val="modern"/>
    <w:pitch w:val="default"/>
    <w:sig w:usb0="00000000" w:usb1="00000000" w:usb2="00000016" w:usb3="00000000" w:csb0="00040001" w:csb1="00000000"/>
  </w:font>
  <w:font w:name="楷体_GB2312">
    <w:panose1 w:val="02010609030101010101"/>
    <w:charset w:val="86"/>
    <w:family w:val="modern"/>
    <w:pitch w:val="default"/>
    <w:sig w:usb0="00000001" w:usb1="080E0000" w:usb2="00000000" w:usb3="00000000" w:csb0="00040000" w:csb1="00000000"/>
  </w:font>
  <w:font w:name="方正仿宋_GBK">
    <w:altName w:val="Arial Unicode MS"/>
    <w:panose1 w:val="00000000000000000000"/>
    <w:charset w:val="86"/>
    <w:family w:val="script"/>
    <w:pitch w:val="default"/>
    <w:sig w:usb0="00000000" w:usb1="00000000" w:usb2="00000010" w:usb3="00000000" w:csb0="0004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方正小标宋简体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仿宋_GB2312">
    <w:panose1 w:val="02010609030101010101"/>
    <w:charset w:val="86"/>
    <w:family w:val="auto"/>
    <w:pitch w:val="default"/>
    <w:sig w:usb0="00000001" w:usb1="080E0000" w:usb2="00000000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-405843926"/>
      <w:docPartObj>
        <w:docPartGallery w:val="AutoText"/>
      </w:docPartObj>
    </w:sdtPr>
    <w:sdtContent>
      <w:p>
        <w:pPr>
          <w:pStyle w:val="5"/>
          <w:jc w:val="right"/>
        </w:pPr>
        <w:r>
          <w:rPr>
            <w:sz w:val="18"/>
            <w:szCs w:val="18"/>
          </w:rPr>
          <w:fldChar w:fldCharType="begin"/>
        </w:r>
        <w:r>
          <w:rPr>
            <w:sz w:val="18"/>
            <w:szCs w:val="18"/>
          </w:rPr>
          <w:instrText xml:space="preserve"> PAGE   \* MERGEFORMAT </w:instrText>
        </w:r>
        <w:r>
          <w:rPr>
            <w:sz w:val="18"/>
            <w:szCs w:val="18"/>
          </w:rPr>
          <w:fldChar w:fldCharType="separate"/>
        </w:r>
        <w:r>
          <w:rPr>
            <w:sz w:val="18"/>
            <w:szCs w:val="18"/>
          </w:rPr>
          <w:t>2</w:t>
        </w:r>
        <w:r>
          <w:rPr>
            <w:sz w:val="18"/>
            <w:szCs w:val="18"/>
          </w:rPr>
          <w:fldChar w:fldCharType="end"/>
        </w:r>
      </w:p>
    </w:sdtContent>
  </w:sdt>
  <w:p>
    <w:pPr>
      <w:pStyle w:val="5"/>
    </w:pP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doNotDisplayPageBoundaries w:val="1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B00DF"/>
    <w:rsid w:val="00026A1E"/>
    <w:rsid w:val="00037065"/>
    <w:rsid w:val="00053FE0"/>
    <w:rsid w:val="00064B2C"/>
    <w:rsid w:val="0007327F"/>
    <w:rsid w:val="00081079"/>
    <w:rsid w:val="00091DFF"/>
    <w:rsid w:val="000C04E8"/>
    <w:rsid w:val="000D1EEA"/>
    <w:rsid w:val="000D7EBA"/>
    <w:rsid w:val="001164CD"/>
    <w:rsid w:val="00122477"/>
    <w:rsid w:val="00155042"/>
    <w:rsid w:val="00155717"/>
    <w:rsid w:val="00155D5D"/>
    <w:rsid w:val="001734B6"/>
    <w:rsid w:val="00181393"/>
    <w:rsid w:val="001837A3"/>
    <w:rsid w:val="001910E2"/>
    <w:rsid w:val="001A0EAD"/>
    <w:rsid w:val="001A4CF4"/>
    <w:rsid w:val="001B3D73"/>
    <w:rsid w:val="001D5AA9"/>
    <w:rsid w:val="00213570"/>
    <w:rsid w:val="00216BCF"/>
    <w:rsid w:val="0022561E"/>
    <w:rsid w:val="00246CC5"/>
    <w:rsid w:val="00252D40"/>
    <w:rsid w:val="0026418E"/>
    <w:rsid w:val="002C3841"/>
    <w:rsid w:val="0034063F"/>
    <w:rsid w:val="00340B46"/>
    <w:rsid w:val="0035201F"/>
    <w:rsid w:val="00353F39"/>
    <w:rsid w:val="00360496"/>
    <w:rsid w:val="003B0F90"/>
    <w:rsid w:val="003B748C"/>
    <w:rsid w:val="003C0AEB"/>
    <w:rsid w:val="00401183"/>
    <w:rsid w:val="00417501"/>
    <w:rsid w:val="004255F9"/>
    <w:rsid w:val="00484E26"/>
    <w:rsid w:val="00493465"/>
    <w:rsid w:val="004B4358"/>
    <w:rsid w:val="004F7688"/>
    <w:rsid w:val="00521CFA"/>
    <w:rsid w:val="00536994"/>
    <w:rsid w:val="005416CC"/>
    <w:rsid w:val="0055152E"/>
    <w:rsid w:val="005E636C"/>
    <w:rsid w:val="005F36FD"/>
    <w:rsid w:val="0063614B"/>
    <w:rsid w:val="006467D8"/>
    <w:rsid w:val="0064780B"/>
    <w:rsid w:val="006639E5"/>
    <w:rsid w:val="00667C08"/>
    <w:rsid w:val="00680A96"/>
    <w:rsid w:val="006A531B"/>
    <w:rsid w:val="006B30B4"/>
    <w:rsid w:val="006B35EC"/>
    <w:rsid w:val="006F6741"/>
    <w:rsid w:val="006F7693"/>
    <w:rsid w:val="00701636"/>
    <w:rsid w:val="00710140"/>
    <w:rsid w:val="00731B49"/>
    <w:rsid w:val="00745A22"/>
    <w:rsid w:val="00776F27"/>
    <w:rsid w:val="00786F0A"/>
    <w:rsid w:val="007A4EFE"/>
    <w:rsid w:val="007B3DB4"/>
    <w:rsid w:val="007C0662"/>
    <w:rsid w:val="007C0815"/>
    <w:rsid w:val="007C2900"/>
    <w:rsid w:val="007C6AF0"/>
    <w:rsid w:val="007D7842"/>
    <w:rsid w:val="007D7DB7"/>
    <w:rsid w:val="007F2275"/>
    <w:rsid w:val="008030C2"/>
    <w:rsid w:val="008556BE"/>
    <w:rsid w:val="00857025"/>
    <w:rsid w:val="0088420A"/>
    <w:rsid w:val="008B7BA5"/>
    <w:rsid w:val="008E4F1F"/>
    <w:rsid w:val="009113A4"/>
    <w:rsid w:val="00915F0F"/>
    <w:rsid w:val="0091761F"/>
    <w:rsid w:val="009465A4"/>
    <w:rsid w:val="00947330"/>
    <w:rsid w:val="00947D76"/>
    <w:rsid w:val="009532DF"/>
    <w:rsid w:val="009765A8"/>
    <w:rsid w:val="00997019"/>
    <w:rsid w:val="009A5029"/>
    <w:rsid w:val="009A7E09"/>
    <w:rsid w:val="009D0C74"/>
    <w:rsid w:val="009D38D5"/>
    <w:rsid w:val="009D5215"/>
    <w:rsid w:val="00A517E0"/>
    <w:rsid w:val="00A53F26"/>
    <w:rsid w:val="00A55571"/>
    <w:rsid w:val="00A91B78"/>
    <w:rsid w:val="00AA0CC5"/>
    <w:rsid w:val="00AA1411"/>
    <w:rsid w:val="00AA6B00"/>
    <w:rsid w:val="00AB5613"/>
    <w:rsid w:val="00AC12FC"/>
    <w:rsid w:val="00AC18F8"/>
    <w:rsid w:val="00AC22E6"/>
    <w:rsid w:val="00AD4F3F"/>
    <w:rsid w:val="00AE1A47"/>
    <w:rsid w:val="00AE2329"/>
    <w:rsid w:val="00B07E1E"/>
    <w:rsid w:val="00B16AFE"/>
    <w:rsid w:val="00B4351F"/>
    <w:rsid w:val="00B43BFF"/>
    <w:rsid w:val="00B65DD5"/>
    <w:rsid w:val="00B662CE"/>
    <w:rsid w:val="00B77B04"/>
    <w:rsid w:val="00BB65FC"/>
    <w:rsid w:val="00BD10B6"/>
    <w:rsid w:val="00BE5BAF"/>
    <w:rsid w:val="00C05464"/>
    <w:rsid w:val="00C07076"/>
    <w:rsid w:val="00C26B2F"/>
    <w:rsid w:val="00C375B5"/>
    <w:rsid w:val="00C64BCF"/>
    <w:rsid w:val="00C955C4"/>
    <w:rsid w:val="00CA52D7"/>
    <w:rsid w:val="00CB00DF"/>
    <w:rsid w:val="00CC678B"/>
    <w:rsid w:val="00CE093A"/>
    <w:rsid w:val="00CF23DD"/>
    <w:rsid w:val="00D5338D"/>
    <w:rsid w:val="00D53C40"/>
    <w:rsid w:val="00D714B6"/>
    <w:rsid w:val="00D73C72"/>
    <w:rsid w:val="00DA1C9E"/>
    <w:rsid w:val="00DC57A5"/>
    <w:rsid w:val="00E0592B"/>
    <w:rsid w:val="00E07D61"/>
    <w:rsid w:val="00E10958"/>
    <w:rsid w:val="00E131C8"/>
    <w:rsid w:val="00E15981"/>
    <w:rsid w:val="00E2070D"/>
    <w:rsid w:val="00E31738"/>
    <w:rsid w:val="00E522CD"/>
    <w:rsid w:val="00E63CCA"/>
    <w:rsid w:val="00E86786"/>
    <w:rsid w:val="00EA30CA"/>
    <w:rsid w:val="00EC0A67"/>
    <w:rsid w:val="00EC4A97"/>
    <w:rsid w:val="00ED2C0E"/>
    <w:rsid w:val="00ED2F80"/>
    <w:rsid w:val="00ED3342"/>
    <w:rsid w:val="00EE4B13"/>
    <w:rsid w:val="00F0757D"/>
    <w:rsid w:val="00F07F6A"/>
    <w:rsid w:val="00F1624E"/>
    <w:rsid w:val="00F32F8A"/>
    <w:rsid w:val="00F36275"/>
    <w:rsid w:val="00F71110"/>
    <w:rsid w:val="00F731B7"/>
    <w:rsid w:val="00F751E4"/>
    <w:rsid w:val="00F810AA"/>
    <w:rsid w:val="00F828C3"/>
    <w:rsid w:val="00F85150"/>
    <w:rsid w:val="00F92DC8"/>
    <w:rsid w:val="00FB43EC"/>
    <w:rsid w:val="00FB6B40"/>
    <w:rsid w:val="00FD0F95"/>
    <w:rsid w:val="00FE16EA"/>
    <w:rsid w:val="2715407E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name="annotation text"/>
    <w:lsdException w:qFormat="1"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qFormat="1"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default="1" w:styleId="7">
    <w:name w:val="Default Paragraph Font"/>
    <w:semiHidden/>
    <w:unhideWhenUsed/>
    <w:uiPriority w:val="1"/>
  </w:style>
  <w:style w:type="table" w:default="1" w:styleId="9">
    <w:name w:val="Normal Table"/>
    <w:semiHidden/>
    <w:unhideWhenUsed/>
    <w:uiPriority w:val="99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annotation subject"/>
    <w:basedOn w:val="3"/>
    <w:next w:val="3"/>
    <w:link w:val="13"/>
    <w:semiHidden/>
    <w:unhideWhenUsed/>
    <w:qFormat/>
    <w:uiPriority w:val="99"/>
    <w:rPr>
      <w:b/>
      <w:bCs/>
    </w:rPr>
  </w:style>
  <w:style w:type="paragraph" w:styleId="3">
    <w:name w:val="annotation text"/>
    <w:basedOn w:val="1"/>
    <w:link w:val="12"/>
    <w:semiHidden/>
    <w:unhideWhenUsed/>
    <w:qFormat/>
    <w:uiPriority w:val="99"/>
    <w:rPr>
      <w:sz w:val="20"/>
      <w:szCs w:val="20"/>
    </w:rPr>
  </w:style>
  <w:style w:type="paragraph" w:styleId="4">
    <w:name w:val="Balloon Text"/>
    <w:basedOn w:val="1"/>
    <w:link w:val="10"/>
    <w:semiHidden/>
    <w:unhideWhenUsed/>
    <w:uiPriority w:val="99"/>
    <w:rPr>
      <w:rFonts w:ascii="Segoe UI" w:hAnsi="Segoe UI" w:cs="Segoe UI"/>
      <w:sz w:val="18"/>
      <w:szCs w:val="18"/>
    </w:rPr>
  </w:style>
  <w:style w:type="paragraph" w:styleId="5">
    <w:name w:val="footer"/>
    <w:basedOn w:val="1"/>
    <w:link w:val="15"/>
    <w:unhideWhenUsed/>
    <w:uiPriority w:val="99"/>
    <w:pPr>
      <w:tabs>
        <w:tab w:val="center" w:pos="4680"/>
        <w:tab w:val="right" w:pos="9360"/>
      </w:tabs>
    </w:pPr>
  </w:style>
  <w:style w:type="paragraph" w:styleId="6">
    <w:name w:val="header"/>
    <w:basedOn w:val="1"/>
    <w:link w:val="14"/>
    <w:unhideWhenUsed/>
    <w:qFormat/>
    <w:uiPriority w:val="99"/>
    <w:pPr>
      <w:tabs>
        <w:tab w:val="center" w:pos="4680"/>
        <w:tab w:val="right" w:pos="9360"/>
      </w:tabs>
    </w:pPr>
  </w:style>
  <w:style w:type="character" w:styleId="8">
    <w:name w:val="annotation reference"/>
    <w:basedOn w:val="7"/>
    <w:semiHidden/>
    <w:unhideWhenUsed/>
    <w:qFormat/>
    <w:uiPriority w:val="99"/>
    <w:rPr>
      <w:sz w:val="16"/>
      <w:szCs w:val="16"/>
    </w:rPr>
  </w:style>
  <w:style w:type="character" w:customStyle="1" w:styleId="10">
    <w:name w:val="批注框文本 字符"/>
    <w:basedOn w:val="7"/>
    <w:link w:val="4"/>
    <w:semiHidden/>
    <w:uiPriority w:val="99"/>
    <w:rPr>
      <w:rFonts w:ascii="Segoe UI" w:hAnsi="Segoe UI" w:eastAsia="宋体" w:cs="Segoe UI"/>
      <w:sz w:val="18"/>
      <w:szCs w:val="18"/>
    </w:rPr>
  </w:style>
  <w:style w:type="paragraph" w:styleId="11">
    <w:name w:val="List Paragraph"/>
    <w:basedOn w:val="1"/>
    <w:qFormat/>
    <w:uiPriority w:val="34"/>
    <w:pPr>
      <w:ind w:left="720"/>
      <w:contextualSpacing/>
    </w:pPr>
  </w:style>
  <w:style w:type="character" w:customStyle="1" w:styleId="12">
    <w:name w:val="批注文字 字符"/>
    <w:basedOn w:val="7"/>
    <w:link w:val="3"/>
    <w:semiHidden/>
    <w:qFormat/>
    <w:uiPriority w:val="99"/>
    <w:rPr>
      <w:rFonts w:ascii="Calibri" w:hAnsi="Calibri" w:eastAsia="宋体" w:cs="Times New Roman"/>
      <w:sz w:val="20"/>
      <w:szCs w:val="20"/>
    </w:rPr>
  </w:style>
  <w:style w:type="character" w:customStyle="1" w:styleId="13">
    <w:name w:val="批注主题 字符"/>
    <w:basedOn w:val="12"/>
    <w:link w:val="2"/>
    <w:semiHidden/>
    <w:qFormat/>
    <w:uiPriority w:val="99"/>
    <w:rPr>
      <w:rFonts w:ascii="Calibri" w:hAnsi="Calibri" w:eastAsia="宋体" w:cs="Times New Roman"/>
      <w:b/>
      <w:bCs/>
      <w:sz w:val="20"/>
      <w:szCs w:val="20"/>
    </w:rPr>
  </w:style>
  <w:style w:type="character" w:customStyle="1" w:styleId="14">
    <w:name w:val="页眉 字符"/>
    <w:basedOn w:val="7"/>
    <w:link w:val="6"/>
    <w:qFormat/>
    <w:uiPriority w:val="99"/>
    <w:rPr>
      <w:rFonts w:ascii="Calibri" w:hAnsi="Calibri" w:eastAsia="宋体" w:cs="Times New Roman"/>
    </w:rPr>
  </w:style>
  <w:style w:type="character" w:customStyle="1" w:styleId="15">
    <w:name w:val="页脚 字符"/>
    <w:basedOn w:val="7"/>
    <w:link w:val="5"/>
    <w:uiPriority w:val="99"/>
    <w:rPr>
      <w:rFonts w:ascii="Calibri" w:hAnsi="Calibri" w:eastAsia="宋体" w:cs="Times New Roman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CCE8C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</Pages>
  <Words>202</Words>
  <Characters>1155</Characters>
  <Lines>9</Lines>
  <Paragraphs>2</Paragraphs>
  <TotalTime>9</TotalTime>
  <ScaleCrop>false</ScaleCrop>
  <LinksUpToDate>false</LinksUpToDate>
  <CharactersWithSpaces>1355</CharactersWithSpaces>
  <Application>WPS Office_10.8.2.7129_F1E327BC-269C-435d-A152-05C5408002CA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2021-04-09T11:44:00Z</dcterms:created>
  <dc:creator>陈媚</dc:creator>
  <cp:lastModifiedBy>User</cp:lastModifiedBy>
  <dcterms:modified xsi:type="dcterms:W3CDTF">2021-04-19T06:52:06Z</dcterms:modified>
  <cp:revision>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KSOProductBuildVer">
    <vt:lpwstr>2052-10.8.2.7129</vt:lpwstr>
  </property>
</Properties>
</file>