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碧桂园物业香港控股有限公司收购四川蓝光嘉宝服务集团股份有限公司股权案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碧桂园物业香港控股有限公司通过本次交易将取得四川蓝光和骏实业有限公司持有的四川蓝光嘉宝服务集团股份有限公司</w:t>
            </w:r>
            <w:bookmarkStart w:id="0" w:name="_GoBack"/>
            <w:bookmarkEnd w:id="0"/>
            <w:r>
              <w:rPr>
                <w:rFonts w:hint="eastAsia" w:ascii="仿宋" w:hAnsi="仿宋" w:eastAsia="仿宋" w:cs="宋体"/>
                <w:color w:val="333333"/>
                <w:kern w:val="0"/>
                <w:sz w:val="24"/>
                <w:szCs w:val="24"/>
              </w:rPr>
              <w:t>65.04%股权、宁波嘉乾企业管理合伙企业（有限合伙）持有的</w:t>
            </w:r>
            <w:r>
              <w:rPr>
                <w:rFonts w:hint="eastAsia" w:ascii="仿宋" w:hAnsi="仿宋" w:eastAsia="仿宋" w:cs="宋体"/>
                <w:color w:val="333333"/>
                <w:kern w:val="0"/>
                <w:sz w:val="24"/>
                <w:szCs w:val="24"/>
              </w:rPr>
              <w:t>四川蓝光嘉宝服务集团股份有限公司</w:t>
            </w:r>
            <w:r>
              <w:rPr>
                <w:rFonts w:hint="eastAsia" w:ascii="仿宋" w:hAnsi="仿宋" w:eastAsia="仿宋" w:cs="宋体"/>
                <w:color w:val="333333"/>
                <w:kern w:val="0"/>
                <w:sz w:val="24"/>
                <w:szCs w:val="24"/>
              </w:rPr>
              <w:t>3.08%股权、成都嘉裕企业管理中心（有限合伙）持有的</w:t>
            </w:r>
            <w:r>
              <w:rPr>
                <w:rFonts w:hint="eastAsia" w:ascii="仿宋" w:hAnsi="仿宋" w:eastAsia="仿宋" w:cs="宋体"/>
                <w:color w:val="333333"/>
                <w:kern w:val="0"/>
                <w:sz w:val="24"/>
                <w:szCs w:val="24"/>
              </w:rPr>
              <w:t>四川蓝光嘉宝服务集团股份有限公司</w:t>
            </w:r>
            <w:r>
              <w:rPr>
                <w:rFonts w:hint="eastAsia" w:ascii="仿宋" w:hAnsi="仿宋" w:eastAsia="仿宋" w:cs="宋体"/>
                <w:color w:val="333333"/>
                <w:kern w:val="0"/>
                <w:sz w:val="24"/>
                <w:szCs w:val="24"/>
              </w:rPr>
              <w:t>3.05%股权，合计取得</w:t>
            </w:r>
            <w:r>
              <w:rPr>
                <w:rFonts w:hint="eastAsia" w:ascii="仿宋" w:hAnsi="仿宋" w:eastAsia="仿宋" w:cs="宋体"/>
                <w:color w:val="333333"/>
                <w:kern w:val="0"/>
                <w:sz w:val="24"/>
                <w:szCs w:val="24"/>
              </w:rPr>
              <w:t>四川蓝光嘉宝服务集团股份有限公司</w:t>
            </w:r>
            <w:r>
              <w:rPr>
                <w:rFonts w:hint="eastAsia" w:ascii="仿宋" w:hAnsi="仿宋" w:eastAsia="仿宋" w:cs="宋体"/>
                <w:color w:val="333333"/>
                <w:kern w:val="0"/>
                <w:sz w:val="24"/>
                <w:szCs w:val="24"/>
              </w:rPr>
              <w:t>71.17%股权。本次交易完成后，碧桂园物业香港控股有限公司将单独控制</w:t>
            </w:r>
            <w:r>
              <w:rPr>
                <w:rFonts w:hint="eastAsia" w:ascii="仿宋" w:hAnsi="仿宋" w:eastAsia="仿宋" w:cs="宋体"/>
                <w:color w:val="333333"/>
                <w:kern w:val="0"/>
                <w:sz w:val="24"/>
                <w:szCs w:val="24"/>
              </w:rPr>
              <w:t>四川蓝光嘉宝服务集团股份有限公司</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1、碧桂园物业香港控股有限公司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是一家于2018年依据中国香港法律设立并存续的私人股份有限公司，注册地在中国香港，碧桂园物业香港控股有限公司主要在中国境内从事物业管理服务，其关联方主要在中国境内从事房地产开发、教育业务等。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2、四川蓝光嘉宝服务集团股份有限公司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是一家于2000年依据中国法律设立并存续的股份有限公司，注册地在中国四川，四川蓝光嘉宝服务集团股份有限公司主要在中国境内从事物业管理服务。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1、横向重叠</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相关产品市场：住宅物业管理服务</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惠州市、泸州市、成都市、南充市、嘉兴市、绍兴市、西安市、宜昌市、常州市、宣城市、济南市、武汉市、天津市、苏州市、昆明市、金华市、上饶市、银川市、遵义市、南通市、无锡市、长沙市、铜陵市、烟台市、徐州市、上海市、昆山市、深圳市、重庆市、南京市、张家口市、宁波市、中山市、宜宾市、南昌市、珠海市、眉山市、扬州市、杭州市、合肥市、北京市、青岛市、太原市、江阴市、庆阳市、潮州市、黔南州、六盘水市、吴忠市、德阳市、广安市、广元市、遂宁市、资阳市、自贡市、曲靖市</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市场份额排名前五位的城市：</w:t>
            </w:r>
          </w:p>
          <w:tbl>
            <w:tblPr>
              <w:tblStyle w:val="6"/>
              <w:tblW w:w="4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851"/>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序号</w:t>
                  </w:r>
                </w:p>
              </w:tc>
              <w:tc>
                <w:tcPr>
                  <w:tcW w:w="851" w:type="dxa"/>
                </w:tcPr>
                <w:p>
                  <w:r>
                    <w:rPr>
                      <w:rFonts w:hint="eastAsia"/>
                    </w:rPr>
                    <w:t>城市</w:t>
                  </w:r>
                </w:p>
              </w:tc>
              <w:tc>
                <w:tcPr>
                  <w:tcW w:w="1134" w:type="dxa"/>
                </w:tcPr>
                <w:p>
                  <w:pPr>
                    <w:rPr>
                      <w:color w:val="000000"/>
                      <w:sz w:val="22"/>
                    </w:rPr>
                  </w:pPr>
                  <w:r>
                    <w:rPr>
                      <w:rFonts w:hint="eastAsia"/>
                      <w:color w:val="000000"/>
                      <w:sz w:val="22"/>
                    </w:rPr>
                    <w:t>碧桂园物业香港控股有限公司关联公司</w:t>
                  </w:r>
                </w:p>
              </w:tc>
              <w:tc>
                <w:tcPr>
                  <w:tcW w:w="1134" w:type="dxa"/>
                </w:tcPr>
                <w:p>
                  <w:pPr>
                    <w:rPr>
                      <w:color w:val="000000"/>
                      <w:sz w:val="22"/>
                    </w:rPr>
                  </w:pPr>
                  <w:r>
                    <w:rPr>
                      <w:rFonts w:hint="eastAsia"/>
                      <w:color w:val="000000"/>
                      <w:sz w:val="22"/>
                    </w:rPr>
                    <w:t>四川蓝光嘉宝服务集团股份有限公司关联公司</w:t>
                  </w:r>
                </w:p>
              </w:tc>
              <w:tc>
                <w:tcPr>
                  <w:tcW w:w="1134" w:type="dxa"/>
                  <w:vAlign w:val="center"/>
                </w:tcPr>
                <w:p>
                  <w:pPr>
                    <w:rPr>
                      <w:rFonts w:ascii="宋体" w:hAnsi="宋体" w:cs="宋体"/>
                      <w:color w:val="000000"/>
                      <w:sz w:val="22"/>
                    </w:rPr>
                  </w:pPr>
                  <w:r>
                    <w:rPr>
                      <w:rFonts w:hint="eastAsia"/>
                      <w:color w:val="000000"/>
                      <w:sz w:val="22"/>
                    </w:rPr>
                    <w:t>双方合计市场份额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1</w:t>
                  </w:r>
                </w:p>
              </w:tc>
              <w:tc>
                <w:tcPr>
                  <w:tcW w:w="851" w:type="dxa"/>
                </w:tcPr>
                <w:p>
                  <w:r>
                    <w:rPr>
                      <w:rFonts w:hint="eastAsia"/>
                    </w:rPr>
                    <w:t>惠州市</w:t>
                  </w:r>
                </w:p>
              </w:tc>
              <w:tc>
                <w:tcPr>
                  <w:tcW w:w="1134" w:type="dxa"/>
                </w:tcPr>
                <w:p>
                  <w:pPr>
                    <w:jc w:val="right"/>
                    <w:rPr>
                      <w:color w:val="000000"/>
                      <w:sz w:val="22"/>
                    </w:rPr>
                  </w:pPr>
                  <w:r>
                    <w:rPr>
                      <w:rFonts w:hint="eastAsia"/>
                      <w:color w:val="000000"/>
                      <w:sz w:val="22"/>
                    </w:rPr>
                    <w:t>10%~15%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2</w:t>
                  </w:r>
                </w:p>
              </w:tc>
              <w:tc>
                <w:tcPr>
                  <w:tcW w:w="851" w:type="dxa"/>
                </w:tcPr>
                <w:p>
                  <w:r>
                    <w:rPr>
                      <w:rFonts w:hint="eastAsia"/>
                    </w:rPr>
                    <w:t>泸州市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5%~10%</w:t>
                  </w:r>
                </w:p>
              </w:tc>
              <w:tc>
                <w:tcPr>
                  <w:tcW w:w="1134" w:type="dxa"/>
                  <w:vAlign w:val="center"/>
                </w:tcPr>
                <w:p>
                  <w:pPr>
                    <w:jc w:val="right"/>
                    <w:rPr>
                      <w:rFonts w:ascii="宋体" w:hAnsi="宋体" w:cs="宋体"/>
                      <w:color w:val="000000"/>
                      <w:sz w:val="22"/>
                    </w:rPr>
                  </w:pPr>
                  <w:r>
                    <w:rPr>
                      <w:rFonts w:hint="eastAsia"/>
                      <w:color w:val="000000"/>
                      <w:sz w:val="22"/>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3</w:t>
                  </w:r>
                </w:p>
              </w:tc>
              <w:tc>
                <w:tcPr>
                  <w:tcW w:w="851" w:type="dxa"/>
                </w:tcPr>
                <w:p>
                  <w:r>
                    <w:rPr>
                      <w:rFonts w:hint="eastAsia"/>
                    </w:rPr>
                    <w:t>成都市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5%~10%</w:t>
                  </w:r>
                </w:p>
              </w:tc>
              <w:tc>
                <w:tcPr>
                  <w:tcW w:w="1134" w:type="dxa"/>
                  <w:vAlign w:val="center"/>
                </w:tcPr>
                <w:p>
                  <w:pPr>
                    <w:jc w:val="right"/>
                    <w:rPr>
                      <w:rFonts w:ascii="宋体" w:hAnsi="宋体" w:cs="宋体"/>
                      <w:color w:val="000000"/>
                      <w:sz w:val="22"/>
                    </w:rPr>
                  </w:pPr>
                  <w:r>
                    <w:rPr>
                      <w:rFonts w:hint="eastAsia"/>
                      <w:color w:val="000000"/>
                      <w:sz w:val="22"/>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4</w:t>
                  </w:r>
                </w:p>
              </w:tc>
              <w:tc>
                <w:tcPr>
                  <w:tcW w:w="851" w:type="dxa"/>
                </w:tcPr>
                <w:p>
                  <w:r>
                    <w:rPr>
                      <w:rFonts w:hint="eastAsia"/>
                    </w:rPr>
                    <w:t>南充市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5</w:t>
                  </w:r>
                </w:p>
              </w:tc>
              <w:tc>
                <w:tcPr>
                  <w:tcW w:w="851" w:type="dxa"/>
                </w:tcPr>
                <w:p>
                  <w:r>
                    <w:rPr>
                      <w:rFonts w:hint="eastAsia"/>
                    </w:rPr>
                    <w:t>嘉兴市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5%~10%</w:t>
                  </w:r>
                </w:p>
              </w:tc>
              <w:tc>
                <w:tcPr>
                  <w:tcW w:w="1134" w:type="dxa"/>
                  <w:vAlign w:val="center"/>
                </w:tcPr>
                <w:p>
                  <w:pPr>
                    <w:jc w:val="right"/>
                    <w:rPr>
                      <w:rFonts w:ascii="宋体" w:hAnsi="宋体" w:cs="宋体"/>
                      <w:color w:val="000000"/>
                      <w:sz w:val="22"/>
                    </w:rPr>
                  </w:pPr>
                  <w:r>
                    <w:rPr>
                      <w:rFonts w:hint="eastAsia"/>
                      <w:color w:val="000000"/>
                      <w:sz w:val="22"/>
                    </w:rPr>
                    <w:t>5%~10%</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相关产品市场：商业物业管理服务</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相关地域市场：武汉市、铜陵市、苏州市、重庆市、南京市、中山市、西安市、上海市、昆山市、常州市、长沙市、南通市、南昌市、北京市、惠州市、天津市、深圳市、青岛市</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市场份额排名前五位的城市：</w:t>
            </w:r>
          </w:p>
          <w:tbl>
            <w:tblPr>
              <w:tblStyle w:val="6"/>
              <w:tblW w:w="4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851"/>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序号</w:t>
                  </w:r>
                </w:p>
              </w:tc>
              <w:tc>
                <w:tcPr>
                  <w:tcW w:w="851" w:type="dxa"/>
                </w:tcPr>
                <w:p>
                  <w:r>
                    <w:rPr>
                      <w:rFonts w:hint="eastAsia"/>
                    </w:rPr>
                    <w:t>城市</w:t>
                  </w:r>
                </w:p>
              </w:tc>
              <w:tc>
                <w:tcPr>
                  <w:tcW w:w="1134" w:type="dxa"/>
                </w:tcPr>
                <w:p>
                  <w:pPr>
                    <w:rPr>
                      <w:color w:val="000000"/>
                      <w:sz w:val="22"/>
                    </w:rPr>
                  </w:pPr>
                  <w:r>
                    <w:rPr>
                      <w:rFonts w:hint="eastAsia"/>
                      <w:color w:val="000000"/>
                      <w:sz w:val="22"/>
                    </w:rPr>
                    <w:t>碧桂园物业香港控股有限公司关联公司</w:t>
                  </w:r>
                </w:p>
              </w:tc>
              <w:tc>
                <w:tcPr>
                  <w:tcW w:w="1134" w:type="dxa"/>
                </w:tcPr>
                <w:p>
                  <w:pPr>
                    <w:rPr>
                      <w:color w:val="000000"/>
                      <w:sz w:val="22"/>
                    </w:rPr>
                  </w:pPr>
                  <w:r>
                    <w:rPr>
                      <w:rFonts w:hint="eastAsia"/>
                      <w:color w:val="000000"/>
                      <w:sz w:val="22"/>
                    </w:rPr>
                    <w:t>四川蓝光嘉宝服务集团股份有限公司关联公司</w:t>
                  </w:r>
                </w:p>
              </w:tc>
              <w:tc>
                <w:tcPr>
                  <w:tcW w:w="1134" w:type="dxa"/>
                  <w:vAlign w:val="center"/>
                </w:tcPr>
                <w:p>
                  <w:pPr>
                    <w:rPr>
                      <w:rFonts w:ascii="宋体" w:hAnsi="宋体" w:cs="宋体"/>
                      <w:color w:val="000000"/>
                      <w:sz w:val="22"/>
                    </w:rPr>
                  </w:pPr>
                  <w:r>
                    <w:rPr>
                      <w:rFonts w:hint="eastAsia"/>
                      <w:color w:val="000000"/>
                      <w:sz w:val="22"/>
                    </w:rPr>
                    <w:t>双方合计市场份额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1</w:t>
                  </w:r>
                </w:p>
              </w:tc>
              <w:tc>
                <w:tcPr>
                  <w:tcW w:w="851" w:type="dxa"/>
                </w:tcPr>
                <w:p>
                  <w:r>
                    <w:rPr>
                      <w:rFonts w:hint="eastAsia"/>
                    </w:rPr>
                    <w:t>武汉市</w:t>
                  </w:r>
                </w:p>
              </w:tc>
              <w:tc>
                <w:tcPr>
                  <w:tcW w:w="1134" w:type="dxa"/>
                </w:tcPr>
                <w:p>
                  <w:pPr>
                    <w:jc w:val="right"/>
                    <w:rPr>
                      <w:color w:val="000000"/>
                      <w:sz w:val="22"/>
                    </w:rPr>
                  </w:pPr>
                  <w:r>
                    <w:rPr>
                      <w:rFonts w:hint="eastAsia"/>
                      <w:color w:val="000000"/>
                      <w:sz w:val="22"/>
                    </w:rPr>
                    <w:t>5%~10%</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2</w:t>
                  </w:r>
                </w:p>
              </w:tc>
              <w:tc>
                <w:tcPr>
                  <w:tcW w:w="851" w:type="dxa"/>
                </w:tcPr>
                <w:p>
                  <w:r>
                    <w:rPr>
                      <w:rFonts w:hint="eastAsia"/>
                    </w:rPr>
                    <w:t>铜陵市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3</w:t>
                  </w:r>
                </w:p>
              </w:tc>
              <w:tc>
                <w:tcPr>
                  <w:tcW w:w="851" w:type="dxa"/>
                </w:tcPr>
                <w:p>
                  <w:r>
                    <w:rPr>
                      <w:rFonts w:hint="eastAsia"/>
                    </w:rPr>
                    <w:t>苏州市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4</w:t>
                  </w:r>
                </w:p>
              </w:tc>
              <w:tc>
                <w:tcPr>
                  <w:tcW w:w="851" w:type="dxa"/>
                </w:tcPr>
                <w:p>
                  <w:r>
                    <w:rPr>
                      <w:rFonts w:hint="eastAsia"/>
                    </w:rPr>
                    <w:t>重庆市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5</w:t>
                  </w:r>
                </w:p>
              </w:tc>
              <w:tc>
                <w:tcPr>
                  <w:tcW w:w="851" w:type="dxa"/>
                </w:tcPr>
                <w:p>
                  <w:r>
                    <w:rPr>
                      <w:rFonts w:hint="eastAsia"/>
                    </w:rPr>
                    <w:t>南京市</w:t>
                  </w:r>
                </w:p>
              </w:tc>
              <w:tc>
                <w:tcPr>
                  <w:tcW w:w="1134" w:type="dxa"/>
                </w:tcPr>
                <w:p>
                  <w:pPr>
                    <w:jc w:val="right"/>
                    <w:rPr>
                      <w:color w:val="000000"/>
                      <w:sz w:val="22"/>
                    </w:rPr>
                  </w:pPr>
                  <w:r>
                    <w:rPr>
                      <w:rFonts w:hint="eastAsia"/>
                      <w:color w:val="000000"/>
                      <w:sz w:val="22"/>
                    </w:rPr>
                    <w:t>0~5%</w:t>
                  </w:r>
                </w:p>
              </w:tc>
              <w:tc>
                <w:tcPr>
                  <w:tcW w:w="1134" w:type="dxa"/>
                </w:tcPr>
                <w:p>
                  <w:pPr>
                    <w:jc w:val="right"/>
                    <w:rPr>
                      <w:color w:val="000000"/>
                      <w:sz w:val="22"/>
                    </w:rPr>
                  </w:pPr>
                  <w:r>
                    <w:rPr>
                      <w:rFonts w:hint="eastAsia"/>
                      <w:color w:val="000000"/>
                      <w:sz w:val="22"/>
                    </w:rPr>
                    <w:t>0~5%</w:t>
                  </w:r>
                </w:p>
              </w:tc>
              <w:tc>
                <w:tcPr>
                  <w:tcW w:w="1134" w:type="dxa"/>
                  <w:vAlign w:val="center"/>
                </w:tcPr>
                <w:p>
                  <w:pPr>
                    <w:jc w:val="right"/>
                    <w:rPr>
                      <w:rFonts w:ascii="宋体" w:hAnsi="宋体" w:cs="宋体"/>
                      <w:color w:val="000000"/>
                      <w:sz w:val="22"/>
                    </w:rPr>
                  </w:pPr>
                  <w:r>
                    <w:rPr>
                      <w:rFonts w:hint="eastAsia"/>
                      <w:color w:val="000000"/>
                      <w:sz w:val="22"/>
                    </w:rPr>
                    <w:t>0~5%</w:t>
                  </w:r>
                </w:p>
              </w:tc>
            </w:tr>
          </w:tbl>
          <w:p>
            <w:pPr>
              <w:tabs>
                <w:tab w:val="left" w:pos="1296"/>
              </w:tabs>
              <w:spacing w:line="500" w:lineRule="exact"/>
              <w:rPr>
                <w:rFonts w:ascii="仿宋" w:hAnsi="仿宋" w:eastAsia="仿宋" w:cs="宋体"/>
                <w:color w:val="333333"/>
                <w:kern w:val="0"/>
                <w:sz w:val="24"/>
                <w:szCs w:val="24"/>
              </w:rPr>
            </w:pPr>
          </w:p>
          <w:p>
            <w:pPr>
              <w:tabs>
                <w:tab w:val="left" w:pos="1296"/>
              </w:tabs>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2、纵向关系</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相关产品市场：商品住宅开发销售（住宅物业管理服务的上游）</w:t>
            </w:r>
          </w:p>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相关地域市场：惠州市、宜昌市、宣城市、遵义市、南通市、长沙市、武汉市、泸州市、烟台市、苏州市、绍兴市、南充市、张家口市、无锡市、中山市、嘉兴市、西安市、南京市、宁波市、昆明市、扬州市、上饶市、常州市、太原市、徐州市、铜陵市、济南市、合肥市、重庆市、杭州市、银川市、天津市、南昌市、成都市、青岛市、江阴市、深圳市、珠海市、上海市、潮州市、黔南州、六盘水市、吴忠市、德阳市、广安市、广元市、遂宁市、曲靖市</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市场份额排名前五位的城市：</w:t>
            </w:r>
          </w:p>
          <w:tbl>
            <w:tblPr>
              <w:tblStyle w:val="6"/>
              <w:tblW w:w="2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851"/>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序号</w:t>
                  </w:r>
                </w:p>
              </w:tc>
              <w:tc>
                <w:tcPr>
                  <w:tcW w:w="851" w:type="dxa"/>
                </w:tcPr>
                <w:p>
                  <w:r>
                    <w:rPr>
                      <w:rFonts w:hint="eastAsia"/>
                    </w:rPr>
                    <w:t>城市</w:t>
                  </w:r>
                </w:p>
              </w:tc>
              <w:tc>
                <w:tcPr>
                  <w:tcW w:w="1134" w:type="dxa"/>
                </w:tcPr>
                <w:p>
                  <w:pPr>
                    <w:rPr>
                      <w:color w:val="000000"/>
                      <w:sz w:val="22"/>
                    </w:rPr>
                  </w:pPr>
                  <w:r>
                    <w:rPr>
                      <w:rFonts w:hint="eastAsia"/>
                      <w:color w:val="000000"/>
                      <w:sz w:val="22"/>
                    </w:rPr>
                    <w:t>碧桂园物业香港控股有限公司关联公司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1</w:t>
                  </w:r>
                </w:p>
              </w:tc>
              <w:tc>
                <w:tcPr>
                  <w:tcW w:w="851" w:type="dxa"/>
                </w:tcPr>
                <w:p>
                  <w:r>
                    <w:rPr>
                      <w:rFonts w:hint="eastAsia"/>
                    </w:rPr>
                    <w:t>惠州市</w:t>
                  </w:r>
                </w:p>
              </w:tc>
              <w:tc>
                <w:tcPr>
                  <w:tcW w:w="1134" w:type="dxa"/>
                </w:tcPr>
                <w:p>
                  <w:pPr>
                    <w:jc w:val="right"/>
                    <w:rPr>
                      <w:color w:val="000000"/>
                      <w:sz w:val="22"/>
                    </w:rPr>
                  </w:pPr>
                  <w:r>
                    <w:rPr>
                      <w:rFonts w:hint="eastAsia"/>
                      <w:color w:val="000000"/>
                      <w:sz w:val="22"/>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2</w:t>
                  </w:r>
                </w:p>
              </w:tc>
              <w:tc>
                <w:tcPr>
                  <w:tcW w:w="851" w:type="dxa"/>
                </w:tcPr>
                <w:p>
                  <w:r>
                    <w:rPr>
                      <w:rFonts w:hint="eastAsia"/>
                    </w:rPr>
                    <w:t>宜昌市</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3</w:t>
                  </w:r>
                </w:p>
              </w:tc>
              <w:tc>
                <w:tcPr>
                  <w:tcW w:w="851" w:type="dxa"/>
                </w:tcPr>
                <w:p>
                  <w:r>
                    <w:rPr>
                      <w:rFonts w:hint="eastAsia"/>
                    </w:rPr>
                    <w:t>宣城市</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4</w:t>
                  </w:r>
                </w:p>
              </w:tc>
              <w:tc>
                <w:tcPr>
                  <w:tcW w:w="851" w:type="dxa"/>
                </w:tcPr>
                <w:p>
                  <w:r>
                    <w:rPr>
                      <w:rFonts w:hint="eastAsia"/>
                    </w:rPr>
                    <w:t>遵义市</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5</w:t>
                  </w:r>
                </w:p>
              </w:tc>
              <w:tc>
                <w:tcPr>
                  <w:tcW w:w="851" w:type="dxa"/>
                </w:tcPr>
                <w:p>
                  <w:r>
                    <w:rPr>
                      <w:rFonts w:hint="eastAsia"/>
                    </w:rPr>
                    <w:t>南通市</w:t>
                  </w:r>
                </w:p>
              </w:tc>
              <w:tc>
                <w:tcPr>
                  <w:tcW w:w="1134" w:type="dxa"/>
                </w:tcPr>
                <w:p>
                  <w:pPr>
                    <w:jc w:val="right"/>
                    <w:rPr>
                      <w:color w:val="000000"/>
                      <w:sz w:val="22"/>
                    </w:rPr>
                  </w:pPr>
                  <w:r>
                    <w:rPr>
                      <w:rFonts w:hint="eastAsia"/>
                      <w:color w:val="000000"/>
                      <w:sz w:val="22"/>
                    </w:rPr>
                    <w:t>0~5%</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相关产品市场：零售商业地产开发运营（商业物业管理服务的上游）</w:t>
            </w:r>
          </w:p>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相关地域市场：武汉市、中山市、南通市、苏州市、深圳市、天津市、上海市</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市场份额排名前五位的城市：</w:t>
            </w:r>
          </w:p>
          <w:tbl>
            <w:tblPr>
              <w:tblStyle w:val="6"/>
              <w:tblW w:w="2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851"/>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序号</w:t>
                  </w:r>
                </w:p>
              </w:tc>
              <w:tc>
                <w:tcPr>
                  <w:tcW w:w="851" w:type="dxa"/>
                </w:tcPr>
                <w:p>
                  <w:r>
                    <w:rPr>
                      <w:rFonts w:hint="eastAsia"/>
                    </w:rPr>
                    <w:t>城市</w:t>
                  </w:r>
                </w:p>
              </w:tc>
              <w:tc>
                <w:tcPr>
                  <w:tcW w:w="1134" w:type="dxa"/>
                </w:tcPr>
                <w:p>
                  <w:pPr>
                    <w:rPr>
                      <w:color w:val="000000"/>
                      <w:sz w:val="22"/>
                    </w:rPr>
                  </w:pPr>
                  <w:r>
                    <w:rPr>
                      <w:rFonts w:hint="eastAsia"/>
                      <w:color w:val="000000"/>
                      <w:sz w:val="22"/>
                    </w:rPr>
                    <w:t>碧桂园物业香港控股有限公司关联公司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1</w:t>
                  </w:r>
                </w:p>
              </w:tc>
              <w:tc>
                <w:tcPr>
                  <w:tcW w:w="851" w:type="dxa"/>
                </w:tcPr>
                <w:p>
                  <w:r>
                    <w:rPr>
                      <w:rFonts w:hint="eastAsia"/>
                    </w:rPr>
                    <w:t>武汉市</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2</w:t>
                  </w:r>
                </w:p>
              </w:tc>
              <w:tc>
                <w:tcPr>
                  <w:tcW w:w="851" w:type="dxa"/>
                </w:tcPr>
                <w:p>
                  <w:r>
                    <w:rPr>
                      <w:rFonts w:hint="eastAsia"/>
                    </w:rPr>
                    <w:t>中山市</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3</w:t>
                  </w:r>
                </w:p>
              </w:tc>
              <w:tc>
                <w:tcPr>
                  <w:tcW w:w="851" w:type="dxa"/>
                </w:tcPr>
                <w:p>
                  <w:r>
                    <w:rPr>
                      <w:rFonts w:hint="eastAsia"/>
                    </w:rPr>
                    <w:t>南通市</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4</w:t>
                  </w:r>
                </w:p>
              </w:tc>
              <w:tc>
                <w:tcPr>
                  <w:tcW w:w="851" w:type="dxa"/>
                </w:tcPr>
                <w:p>
                  <w:r>
                    <w:rPr>
                      <w:rFonts w:hint="eastAsia"/>
                    </w:rPr>
                    <w:t>苏州市</w:t>
                  </w:r>
                </w:p>
              </w:tc>
              <w:tc>
                <w:tcPr>
                  <w:tcW w:w="1134" w:type="dxa"/>
                </w:tcPr>
                <w:p>
                  <w:pPr>
                    <w:jc w:val="right"/>
                    <w:rPr>
                      <w:color w:val="000000"/>
                      <w:sz w:val="22"/>
                    </w:rPr>
                  </w:pPr>
                  <w:r>
                    <w:rPr>
                      <w:rFonts w:hint="eastAsia"/>
                      <w:color w:val="000000"/>
                      <w:sz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5</w:t>
                  </w:r>
                </w:p>
              </w:tc>
              <w:tc>
                <w:tcPr>
                  <w:tcW w:w="851" w:type="dxa"/>
                </w:tcPr>
                <w:p>
                  <w:r>
                    <w:rPr>
                      <w:rFonts w:hint="eastAsia"/>
                    </w:rPr>
                    <w:t>深圳市</w:t>
                  </w:r>
                </w:p>
              </w:tc>
              <w:tc>
                <w:tcPr>
                  <w:tcW w:w="1134" w:type="dxa"/>
                </w:tcPr>
                <w:p>
                  <w:pPr>
                    <w:jc w:val="right"/>
                    <w:rPr>
                      <w:color w:val="000000"/>
                      <w:sz w:val="22"/>
                    </w:rPr>
                  </w:pPr>
                  <w:r>
                    <w:rPr>
                      <w:rFonts w:hint="eastAsia"/>
                      <w:color w:val="000000"/>
                      <w:sz w:val="22"/>
                    </w:rPr>
                    <w:t>0~5%</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相关产品市场：写字楼开发运营（商业物业管理服务的上游）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相关地域市场：惠州市</w:t>
            </w:r>
          </w:p>
          <w:tbl>
            <w:tblPr>
              <w:tblStyle w:val="6"/>
              <w:tblW w:w="2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851"/>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序号</w:t>
                  </w:r>
                </w:p>
              </w:tc>
              <w:tc>
                <w:tcPr>
                  <w:tcW w:w="851" w:type="dxa"/>
                </w:tcPr>
                <w:p>
                  <w:r>
                    <w:rPr>
                      <w:rFonts w:hint="eastAsia"/>
                    </w:rPr>
                    <w:t>城市</w:t>
                  </w:r>
                </w:p>
              </w:tc>
              <w:tc>
                <w:tcPr>
                  <w:tcW w:w="1134" w:type="dxa"/>
                </w:tcPr>
                <w:p>
                  <w:pPr>
                    <w:rPr>
                      <w:color w:val="000000"/>
                      <w:sz w:val="22"/>
                    </w:rPr>
                  </w:pPr>
                  <w:r>
                    <w:rPr>
                      <w:rFonts w:hint="eastAsia"/>
                      <w:color w:val="000000"/>
                      <w:sz w:val="22"/>
                    </w:rPr>
                    <w:t>碧桂园物业香港控股有限公司关联公司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675" w:type="dxa"/>
                </w:tcPr>
                <w:p>
                  <w:r>
                    <w:rPr>
                      <w:rFonts w:hint="eastAsia"/>
                    </w:rPr>
                    <w:t>1</w:t>
                  </w:r>
                </w:p>
              </w:tc>
              <w:tc>
                <w:tcPr>
                  <w:tcW w:w="851" w:type="dxa"/>
                </w:tcPr>
                <w:p>
                  <w:r>
                    <w:rPr>
                      <w:rFonts w:hint="eastAsia"/>
                    </w:rPr>
                    <w:t>惠州市</w:t>
                  </w:r>
                </w:p>
              </w:tc>
              <w:tc>
                <w:tcPr>
                  <w:tcW w:w="1134" w:type="dxa"/>
                </w:tcPr>
                <w:p>
                  <w:pPr>
                    <w:jc w:val="right"/>
                    <w:rPr>
                      <w:color w:val="000000"/>
                      <w:sz w:val="22"/>
                    </w:rPr>
                  </w:pPr>
                  <w:r>
                    <w:rPr>
                      <w:rFonts w:hint="eastAsia"/>
                      <w:color w:val="000000"/>
                      <w:sz w:val="22"/>
                    </w:rPr>
                    <w:t>0~5%</w:t>
                  </w:r>
                </w:p>
              </w:tc>
            </w:tr>
          </w:tbl>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方正仿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yM7AwtzC1tLAwtDAAAiUdpeDU4uLM/DyQAstaADUA+uksAAAA"/>
  </w:docVars>
  <w:rsids>
    <w:rsidRoot w:val="00CB00DF"/>
    <w:rsid w:val="00037065"/>
    <w:rsid w:val="000C7860"/>
    <w:rsid w:val="000D7EBA"/>
    <w:rsid w:val="001164CD"/>
    <w:rsid w:val="0012103C"/>
    <w:rsid w:val="0012520F"/>
    <w:rsid w:val="00155717"/>
    <w:rsid w:val="00157D93"/>
    <w:rsid w:val="001837A3"/>
    <w:rsid w:val="001D04A9"/>
    <w:rsid w:val="002708B8"/>
    <w:rsid w:val="00272F4E"/>
    <w:rsid w:val="003252BE"/>
    <w:rsid w:val="003C0AEB"/>
    <w:rsid w:val="004F7688"/>
    <w:rsid w:val="005A53B5"/>
    <w:rsid w:val="006038E2"/>
    <w:rsid w:val="006467D8"/>
    <w:rsid w:val="006A531B"/>
    <w:rsid w:val="006D00E9"/>
    <w:rsid w:val="006F7693"/>
    <w:rsid w:val="00710140"/>
    <w:rsid w:val="00750CF1"/>
    <w:rsid w:val="00780B49"/>
    <w:rsid w:val="007F2275"/>
    <w:rsid w:val="008149CD"/>
    <w:rsid w:val="008A532C"/>
    <w:rsid w:val="00915F0F"/>
    <w:rsid w:val="009532DF"/>
    <w:rsid w:val="009953C8"/>
    <w:rsid w:val="00997019"/>
    <w:rsid w:val="009A5029"/>
    <w:rsid w:val="009D38D5"/>
    <w:rsid w:val="00A53F26"/>
    <w:rsid w:val="00A927A1"/>
    <w:rsid w:val="00A92A54"/>
    <w:rsid w:val="00AA0CC5"/>
    <w:rsid w:val="00AB1F22"/>
    <w:rsid w:val="00AF2177"/>
    <w:rsid w:val="00B16AFE"/>
    <w:rsid w:val="00B65DD5"/>
    <w:rsid w:val="00BC2728"/>
    <w:rsid w:val="00BD10B6"/>
    <w:rsid w:val="00C07076"/>
    <w:rsid w:val="00CB00DF"/>
    <w:rsid w:val="00D11BE7"/>
    <w:rsid w:val="00D73C72"/>
    <w:rsid w:val="00DA0D5D"/>
    <w:rsid w:val="00E0592B"/>
    <w:rsid w:val="00E31738"/>
    <w:rsid w:val="00E86786"/>
    <w:rsid w:val="00EB7F4B"/>
    <w:rsid w:val="00ED2F80"/>
    <w:rsid w:val="00ED3260"/>
    <w:rsid w:val="00F1624E"/>
    <w:rsid w:val="00F32F8A"/>
    <w:rsid w:val="00F810AA"/>
    <w:rsid w:val="00F86F9E"/>
    <w:rsid w:val="00FB43EC"/>
    <w:rsid w:val="00FB6B40"/>
    <w:rsid w:val="7933065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7">
    <w:name w:val="页眉 Char"/>
    <w:basedOn w:val="4"/>
    <w:link w:val="3"/>
    <w:uiPriority w:val="99"/>
    <w:rPr>
      <w:rFonts w:ascii="Calibri" w:hAnsi="Calibri" w:eastAsia="宋体" w:cs="Times New Roman"/>
      <w:sz w:val="18"/>
      <w:szCs w:val="18"/>
    </w:rPr>
  </w:style>
  <w:style w:type="character" w:customStyle="1" w:styleId="8">
    <w:name w:val="页脚 Char"/>
    <w:basedOn w:val="4"/>
    <w:link w:val="2"/>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364</Words>
  <Characters>2079</Characters>
  <Lines>17</Lines>
  <Paragraphs>4</Paragraphs>
  <TotalTime>1</TotalTime>
  <ScaleCrop>false</ScaleCrop>
  <LinksUpToDate>false</LinksUpToDate>
  <CharactersWithSpaces>2439</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SAMR</cp:lastModifiedBy>
  <dcterms:modified xsi:type="dcterms:W3CDTF">2021-04-02T01:53:06Z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