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E74947" w:rsidRDefault="00094095" w:rsidP="00094095">
      <w:pPr>
        <w:spacing w:line="440" w:lineRule="exact"/>
        <w:jc w:val="center"/>
        <w:rPr>
          <w:rFonts w:ascii="Arial" w:eastAsia="仿宋_GB2312" w:hAnsi="Arial" w:cs="Times New Roman"/>
          <w:b/>
          <w:sz w:val="24"/>
          <w:szCs w:val="24"/>
        </w:rPr>
      </w:pPr>
      <w:r w:rsidRPr="00E74947">
        <w:rPr>
          <w:rFonts w:ascii="Arial" w:eastAsia="仿宋_GB2312" w:hAnsi="Arial" w:cs="Times New Roman"/>
          <w:b/>
          <w:sz w:val="24"/>
          <w:szCs w:val="24"/>
        </w:rPr>
        <w:t>经营者集中简易案件公示表</w:t>
      </w:r>
    </w:p>
    <w:p w:rsidR="00094095" w:rsidRPr="00E74947" w:rsidRDefault="00094095" w:rsidP="00094095">
      <w:pPr>
        <w:spacing w:line="440" w:lineRule="exact"/>
        <w:rPr>
          <w:rFonts w:ascii="Arial" w:eastAsia="仿宋_GB2312" w:hAnsi="Arial" w:cs="Times New Roman"/>
          <w:sz w:val="24"/>
          <w:szCs w:val="24"/>
        </w:rPr>
      </w:pPr>
    </w:p>
    <w:tbl>
      <w:tblPr>
        <w:tblStyle w:val="a3"/>
        <w:tblW w:w="8758" w:type="dxa"/>
        <w:tblLook w:val="04A0"/>
      </w:tblPr>
      <w:tblGrid>
        <w:gridCol w:w="1809"/>
        <w:gridCol w:w="1796"/>
        <w:gridCol w:w="5153"/>
      </w:tblGrid>
      <w:tr w:rsidR="00094095" w:rsidRPr="00E74947" w:rsidTr="00A85090">
        <w:tc>
          <w:tcPr>
            <w:tcW w:w="1809" w:type="dxa"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E74947" w:rsidRDefault="006928FD" w:rsidP="00643BA7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贝恩资本投资有限责任公司收购</w:t>
            </w:r>
            <w:proofErr w:type="spellStart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Maxford</w:t>
            </w:r>
            <w:proofErr w:type="spellEnd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 (O) Technologies Limited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股权案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（以下简称“</w:t>
            </w:r>
            <w:r w:rsidR="000152B3" w:rsidRPr="00E74947">
              <w:rPr>
                <w:rFonts w:ascii="Arial" w:eastAsia="仿宋_GB2312" w:hAnsi="Arial" w:cs="Times New Roman" w:hint="eastAsia"/>
                <w:b/>
                <w:sz w:val="24"/>
                <w:szCs w:val="24"/>
              </w:rPr>
              <w:t>本次交易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”）</w:t>
            </w:r>
          </w:p>
        </w:tc>
      </w:tr>
      <w:tr w:rsidR="00094095" w:rsidRPr="00E74947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交易概况（限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200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E74947" w:rsidRDefault="006928FD" w:rsidP="00643BA7">
            <w:pPr>
              <w:spacing w:line="500" w:lineRule="exact"/>
              <w:jc w:val="lef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贝恩资本投资有限责任公司</w:t>
            </w:r>
            <w:r w:rsidR="00090C85" w:rsidRPr="00E74947">
              <w:rPr>
                <w:rFonts w:ascii="Arial" w:eastAsia="仿宋_GB2312" w:hAnsi="Arial" w:cs="Times New Roman"/>
                <w:sz w:val="24"/>
                <w:szCs w:val="24"/>
              </w:rPr>
              <w:t>（</w:t>
            </w:r>
            <w:r w:rsidR="00090C85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以下简称</w:t>
            </w:r>
            <w:r w:rsidR="00090C85" w:rsidRPr="00E74947">
              <w:rPr>
                <w:rFonts w:ascii="Arial" w:eastAsia="仿宋_GB2312" w:hAnsi="Arial" w:cs="Times New Roman"/>
                <w:sz w:val="24"/>
                <w:szCs w:val="24"/>
              </w:rPr>
              <w:t>“</w:t>
            </w:r>
            <w:r w:rsidR="00090C85" w:rsidRPr="00E74947">
              <w:rPr>
                <w:rFonts w:ascii="Arial" w:eastAsia="仿宋_GB2312" w:hAnsi="Arial" w:cs="Times New Roman"/>
                <w:b/>
                <w:sz w:val="24"/>
                <w:szCs w:val="24"/>
              </w:rPr>
              <w:t>贝恩资本</w:t>
            </w:r>
            <w:r w:rsidR="00090C85" w:rsidRPr="00E74947">
              <w:rPr>
                <w:rFonts w:ascii="Arial" w:eastAsia="仿宋_GB2312" w:hAnsi="Arial" w:cs="Times New Roman"/>
                <w:sz w:val="24"/>
                <w:szCs w:val="24"/>
              </w:rPr>
              <w:t>”</w:t>
            </w:r>
            <w:r w:rsidR="00090C85" w:rsidRPr="00E74947">
              <w:rPr>
                <w:rFonts w:ascii="Arial" w:eastAsia="仿宋_GB2312" w:hAnsi="Arial" w:cs="Times New Roman"/>
                <w:sz w:val="24"/>
                <w:szCs w:val="24"/>
              </w:rPr>
              <w:t>）</w:t>
            </w:r>
            <w:r w:rsidR="00643BA7">
              <w:rPr>
                <w:rFonts w:ascii="Arial" w:eastAsia="仿宋_GB2312" w:hAnsi="Arial" w:cs="Times New Roman" w:hint="eastAsia"/>
                <w:sz w:val="24"/>
                <w:szCs w:val="24"/>
              </w:rPr>
              <w:t>管理的基金</w:t>
            </w:r>
            <w:r w:rsidR="00AC26DC" w:rsidRPr="00E74947">
              <w:rPr>
                <w:rFonts w:ascii="Arial" w:eastAsia="仿宋_GB2312" w:hAnsi="Arial" w:cs="Times New Roman"/>
                <w:sz w:val="24"/>
                <w:szCs w:val="24"/>
              </w:rPr>
              <w:t>拟通过一家专为本次交易设立的实体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BCPE </w:t>
            </w:r>
            <w:proofErr w:type="spellStart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Baymax</w:t>
            </w:r>
            <w:proofErr w:type="spellEnd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 Cayman, L.P.</w:t>
            </w:r>
            <w:r w:rsidR="00AC26DC" w:rsidRPr="00E74947">
              <w:rPr>
                <w:rFonts w:ascii="Arial" w:eastAsia="仿宋_GB2312" w:hAnsi="Arial" w:cs="Times New Roman"/>
                <w:sz w:val="24"/>
                <w:szCs w:val="24"/>
              </w:rPr>
              <w:t>，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购买</w:t>
            </w:r>
            <w:proofErr w:type="spellStart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Maxford</w:t>
            </w:r>
            <w:proofErr w:type="spellEnd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 (O) Technologies Limited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（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以下简称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“</w:t>
            </w:r>
            <w:r w:rsidRPr="00E74947">
              <w:rPr>
                <w:rFonts w:ascii="Arial" w:eastAsia="仿宋_GB2312" w:hAnsi="Arial" w:cs="Times New Roman"/>
                <w:b/>
                <w:sz w:val="24"/>
                <w:szCs w:val="24"/>
              </w:rPr>
              <w:t>维达力</w:t>
            </w:r>
            <w:r w:rsidRPr="00E74947">
              <w:rPr>
                <w:rFonts w:ascii="Arial" w:eastAsia="仿宋_GB2312" w:hAnsi="Arial" w:cs="Times New Roman"/>
                <w:b/>
                <w:sz w:val="24"/>
                <w:szCs w:val="24"/>
              </w:rPr>
              <w:t>(BVI)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”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）发行的可转换票据，该可转换票据可以转换为维达力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(BVI)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或者其境内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特定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关联实体（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与维达力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(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BVI)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合称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“</w:t>
            </w:r>
            <w:r w:rsidRPr="00E74947">
              <w:rPr>
                <w:rFonts w:ascii="Arial" w:eastAsia="仿宋_GB2312" w:hAnsi="Arial" w:cs="Times New Roman"/>
                <w:b/>
                <w:sz w:val="24"/>
                <w:szCs w:val="24"/>
              </w:rPr>
              <w:t>维达力主体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”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）的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40%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的股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份</w:t>
            </w:r>
            <w:r w:rsidR="00AC26DC" w:rsidRPr="00E74947">
              <w:rPr>
                <w:rFonts w:ascii="Arial" w:eastAsia="仿宋_GB2312" w:hAnsi="Arial" w:cs="Times New Roman"/>
                <w:sz w:val="24"/>
                <w:szCs w:val="24"/>
              </w:rPr>
              <w:t>。本次交易完成后，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维达力主体</w:t>
            </w:r>
            <w:r w:rsidR="00AC26DC" w:rsidRPr="00E74947">
              <w:rPr>
                <w:rFonts w:ascii="Arial" w:eastAsia="仿宋_GB2312" w:hAnsi="Arial" w:cs="Times New Roman"/>
                <w:sz w:val="24"/>
                <w:szCs w:val="24"/>
              </w:rPr>
              <w:t>将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由贝恩资本</w:t>
            </w:r>
            <w:r w:rsidR="007434F5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管理的基金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和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维达力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(BVI)</w:t>
            </w:r>
            <w:r w:rsidR="000152B3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现有股东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CN Innovations Holdings (BVI) Limited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（</w:t>
            </w:r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以下简称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“</w:t>
            </w:r>
            <w:r w:rsidR="000152B3" w:rsidRPr="00E74947">
              <w:rPr>
                <w:rFonts w:ascii="Arial" w:eastAsia="仿宋_GB2312" w:hAnsi="Arial" w:cs="Times New Roman"/>
                <w:b/>
                <w:sz w:val="24"/>
                <w:szCs w:val="24"/>
              </w:rPr>
              <w:t>中南创发</w:t>
            </w:r>
            <w:r w:rsidR="000152B3" w:rsidRPr="00E74947">
              <w:rPr>
                <w:rFonts w:ascii="Arial" w:eastAsia="仿宋_GB2312" w:hAnsi="Arial" w:cs="Times New Roman"/>
                <w:b/>
                <w:sz w:val="24"/>
                <w:szCs w:val="24"/>
              </w:rPr>
              <w:t>(BVI)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”</w:t>
            </w:r>
            <w:r w:rsidR="000152B3" w:rsidRPr="00E74947">
              <w:rPr>
                <w:rFonts w:ascii="Arial" w:eastAsia="仿宋_GB2312" w:hAnsi="Arial" w:cs="Times New Roman"/>
                <w:sz w:val="24"/>
                <w:szCs w:val="24"/>
              </w:rPr>
              <w:t>）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共同控制</w:t>
            </w:r>
            <w:r w:rsidR="00AC26DC" w:rsidRPr="00E74947">
              <w:rPr>
                <w:rFonts w:ascii="Arial" w:eastAsia="仿宋_GB2312" w:hAnsi="Arial" w:cs="Times New Roman"/>
                <w:sz w:val="24"/>
                <w:szCs w:val="24"/>
              </w:rPr>
              <w:t>。</w:t>
            </w:r>
          </w:p>
        </w:tc>
      </w:tr>
      <w:tr w:rsidR="00094095" w:rsidRPr="00E74947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E74947" w:rsidRDefault="00AC26DC" w:rsidP="00643BA7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jc w:val="lef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贝恩资本</w:t>
            </w:r>
          </w:p>
        </w:tc>
        <w:tc>
          <w:tcPr>
            <w:tcW w:w="5153" w:type="dxa"/>
          </w:tcPr>
          <w:p w:rsidR="00094095" w:rsidRPr="00E74947" w:rsidRDefault="00AC26DC" w:rsidP="00643BA7">
            <w:pPr>
              <w:spacing w:line="500" w:lineRule="exact"/>
              <w:jc w:val="lef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一家依据美国法律设立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和存续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的有限责任公司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，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作为一家私</w:t>
            </w:r>
            <w:proofErr w:type="gramStart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募股权投资</w:t>
            </w:r>
            <w:proofErr w:type="gramEnd"/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企业，通过其旗下基金在全球范围内的诸多行业领域（包括</w:t>
            </w:r>
            <w:r w:rsidR="006928FD" w:rsidRPr="00E74947">
              <w:rPr>
                <w:rFonts w:ascii="Arial" w:eastAsia="仿宋_GB2312" w:hAnsi="Arial" w:cs="Times New Roman"/>
                <w:sz w:val="24"/>
                <w:szCs w:val="24"/>
              </w:rPr>
              <w:t>技术、媒体和电信、医疗保健、零售和消费产品、金融和商业服务以及工业</w:t>
            </w:r>
            <w:r w:rsidR="006928FD" w:rsidRPr="00E74947">
              <w:rPr>
                <w:rFonts w:ascii="Arial" w:eastAsia="仿宋_GB2312" w:hAnsi="Arial" w:cs="Times New Roman"/>
                <w:sz w:val="24"/>
                <w:szCs w:val="24"/>
              </w:rPr>
              <w:t>/</w:t>
            </w:r>
            <w:r w:rsidR="006928FD" w:rsidRPr="00E74947">
              <w:rPr>
                <w:rFonts w:ascii="Arial" w:eastAsia="仿宋_GB2312" w:hAnsi="Arial" w:cs="Times New Roman"/>
                <w:sz w:val="24"/>
                <w:szCs w:val="24"/>
              </w:rPr>
              <w:t>制造业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）开展投资业务。</w:t>
            </w:r>
          </w:p>
        </w:tc>
      </w:tr>
      <w:tr w:rsidR="00094095" w:rsidRPr="00E74947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094095" w:rsidRPr="00E74947" w:rsidRDefault="006928FD" w:rsidP="00643BA7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jc w:val="lef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中南创发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(BVI)</w:t>
            </w:r>
          </w:p>
        </w:tc>
        <w:tc>
          <w:tcPr>
            <w:tcW w:w="5153" w:type="dxa"/>
          </w:tcPr>
          <w:p w:rsidR="00094095" w:rsidRPr="00E74947" w:rsidRDefault="00A86B91" w:rsidP="00643BA7">
            <w:pPr>
              <w:spacing w:line="500" w:lineRule="exact"/>
              <w:jc w:val="lef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一家依据</w:t>
            </w:r>
            <w:bookmarkStart w:id="0" w:name="_GoBack"/>
            <w:bookmarkEnd w:id="0"/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英属维尔京群岛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法律设立和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存续的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有限责任公司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。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中南创发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(BVI)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及其关联实体</w:t>
            </w:r>
            <w:r w:rsidR="00CE0897" w:rsidRPr="00E74947">
              <w:rPr>
                <w:rFonts w:ascii="Arial" w:eastAsia="仿宋_GB2312" w:hAnsi="Arial" w:cs="Times New Roman"/>
                <w:sz w:val="24"/>
                <w:szCs w:val="24"/>
              </w:rPr>
              <w:t>（合称</w:t>
            </w:r>
            <w:r w:rsidR="00CE0897" w:rsidRPr="00E74947">
              <w:rPr>
                <w:rFonts w:ascii="Arial" w:eastAsia="仿宋_GB2312" w:hAnsi="Arial" w:cs="Times New Roman"/>
                <w:sz w:val="24"/>
                <w:szCs w:val="24"/>
              </w:rPr>
              <w:t>“</w:t>
            </w:r>
            <w:r w:rsidR="00CE0897" w:rsidRPr="00E74947">
              <w:rPr>
                <w:rFonts w:ascii="Arial" w:eastAsia="仿宋_GB2312" w:hAnsi="Arial" w:cs="Times New Roman"/>
                <w:b/>
                <w:sz w:val="24"/>
                <w:szCs w:val="24"/>
              </w:rPr>
              <w:t>中南创发集团</w:t>
            </w:r>
            <w:r w:rsidR="00CE0897" w:rsidRPr="00E74947">
              <w:rPr>
                <w:rFonts w:ascii="Arial" w:eastAsia="仿宋_GB2312" w:hAnsi="Arial" w:cs="Times New Roman"/>
                <w:sz w:val="24"/>
                <w:szCs w:val="24"/>
              </w:rPr>
              <w:t>”</w:t>
            </w:r>
            <w:r w:rsidR="00CE0897" w:rsidRPr="00E74947">
              <w:rPr>
                <w:rFonts w:ascii="Arial" w:eastAsia="仿宋_GB2312" w:hAnsi="Arial" w:cs="Times New Roman"/>
                <w:sz w:val="24"/>
                <w:szCs w:val="24"/>
              </w:rPr>
              <w:t>）</w:t>
            </w:r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从事</w:t>
            </w:r>
            <w:r w:rsidR="001E5106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的业务中，以</w:t>
            </w:r>
            <w:proofErr w:type="gramStart"/>
            <w:r w:rsidR="001F22A4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维达力</w:t>
            </w:r>
            <w:proofErr w:type="gramEnd"/>
            <w:r w:rsidR="001F22A4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(</w:t>
            </w:r>
            <w:r w:rsidR="001F22A4" w:rsidRPr="00E74947">
              <w:rPr>
                <w:rFonts w:ascii="Arial" w:eastAsia="仿宋_GB2312" w:hAnsi="Arial" w:cs="Times New Roman"/>
                <w:sz w:val="24"/>
                <w:szCs w:val="24"/>
              </w:rPr>
              <w:t>BVI)</w:t>
            </w:r>
            <w:r w:rsidR="001F22A4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通过其下属关联实体</w:t>
            </w:r>
            <w:r w:rsidR="001E5106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所经营的玻璃盖板生产及表面处理（</w:t>
            </w:r>
            <w:r w:rsidR="001E5106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PVD</w:t>
            </w:r>
            <w:r w:rsidR="001E5106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）业务的规模和销售额最大，其次为</w:t>
            </w:r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精密金属加工、金属粉末注塑成型业务、电容式触摸屏生产</w:t>
            </w:r>
            <w:r w:rsidR="001E5106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等</w:t>
            </w:r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业务，</w:t>
            </w:r>
            <w:r w:rsidR="001E5106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亦有相对较少规模的业务，包括导电油墨及纳米材料、生物科技、激光设备的生产业务</w:t>
            </w:r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以及商用</w:t>
            </w:r>
            <w:proofErr w:type="gramStart"/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增程型电动车</w:t>
            </w:r>
            <w:proofErr w:type="gramEnd"/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（包括混合动力小巴以及相关设施及服务）</w:t>
            </w:r>
            <w:r w:rsidR="001E5106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的设计、开发及组合</w:t>
            </w:r>
            <w:r w:rsidR="00BD7A22"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等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。</w:t>
            </w:r>
          </w:p>
        </w:tc>
      </w:tr>
      <w:tr w:rsidR="00094095" w:rsidRPr="00E74947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E74947" w:rsidRDefault="00094095" w:rsidP="00A86B91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lastRenderedPageBreak/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E74947" w:rsidRDefault="002E0FF2" w:rsidP="00197DF6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sym w:font="Wingdings" w:char="F0A8"/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1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. 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在同一相关市场，所有参与集中的经营者所占市场份额之和小于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15%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。</w:t>
            </w:r>
          </w:p>
        </w:tc>
      </w:tr>
      <w:tr w:rsidR="00094095" w:rsidRPr="00E74947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E74947" w:rsidRDefault="00DF5E25" w:rsidP="00197DF6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sym w:font="Wingdings" w:char="F0A8"/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2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. 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25%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。</w:t>
            </w:r>
          </w:p>
        </w:tc>
      </w:tr>
      <w:tr w:rsidR="00094095" w:rsidRPr="00E74947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E74947" w:rsidRDefault="00197DF6" w:rsidP="00197DF6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sym w:font="Wingdings" w:char="F0FE"/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3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. 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25%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。</w:t>
            </w:r>
          </w:p>
        </w:tc>
      </w:tr>
      <w:tr w:rsidR="00094095" w:rsidRPr="00E74947" w:rsidTr="00A85090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E74947" w:rsidRDefault="00197DF6" w:rsidP="00197DF6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sym w:font="Wingdings" w:char="F0A8"/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4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. 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94095" w:rsidRPr="00E74947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E74947" w:rsidRDefault="00DF5E2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sym w:font="Wingdings" w:char="F0A8"/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5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. 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E74947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E74947" w:rsidRDefault="00DF5E25" w:rsidP="00197DF6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sym w:font="Wingdings" w:char="F0A8"/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6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. </w:t>
            </w:r>
            <w:r w:rsidR="00094095" w:rsidRPr="00E74947">
              <w:rPr>
                <w:rFonts w:ascii="Arial" w:eastAsia="仿宋_GB2312" w:hAnsi="Arial" w:cs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E74947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E74947" w:rsidRDefault="00094095" w:rsidP="00A85090">
            <w:pPr>
              <w:spacing w:line="500" w:lineRule="exact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BD7A22" w:rsidRPr="00E74947" w:rsidRDefault="00197DF6" w:rsidP="005F74DE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相关市场：</w:t>
            </w:r>
          </w:p>
          <w:p w:rsidR="00BD7A22" w:rsidRPr="00E74947" w:rsidRDefault="00BD7A22" w:rsidP="00BD7A22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全球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智能手机玻璃盖板市场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；</w:t>
            </w:r>
          </w:p>
          <w:p w:rsidR="00A86B91" w:rsidRPr="00E74947" w:rsidRDefault="00BD7A22" w:rsidP="00BD7A22">
            <w:pPr>
              <w:pStyle w:val="a8"/>
              <w:spacing w:line="500" w:lineRule="exact"/>
              <w:ind w:left="360" w:firstLineChars="0" w:firstLine="0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 w:hint="eastAsia"/>
                <w:sz w:val="24"/>
                <w:szCs w:val="24"/>
              </w:rPr>
              <w:t>中国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电子电器表面处理市场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；</w:t>
            </w:r>
          </w:p>
          <w:p w:rsidR="00197DF6" w:rsidRPr="00E74947" w:rsidRDefault="00197DF6" w:rsidP="00197DF6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相关市场份额：</w:t>
            </w:r>
          </w:p>
          <w:p w:rsidR="00197DF6" w:rsidRPr="00E74947" w:rsidRDefault="005F74DE" w:rsidP="005F74DE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全球智能手机玻璃盖板市场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：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维达力</w:t>
            </w: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(BVI) 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[</w:t>
            </w:r>
            <w:r w:rsidR="00E2092C" w:rsidRPr="00E74947">
              <w:rPr>
                <w:rFonts w:ascii="Arial" w:eastAsia="仿宋_GB2312" w:hAnsi="Arial" w:cs="Times New Roman"/>
                <w:sz w:val="24"/>
                <w:szCs w:val="24"/>
              </w:rPr>
              <w:t>0-5</w:t>
            </w:r>
            <w:r w:rsidR="00197DF6" w:rsidRPr="00E74947">
              <w:rPr>
                <w:rFonts w:ascii="Arial" w:eastAsia="仿宋_GB2312" w:hAnsi="Arial" w:cs="Times New Roman"/>
                <w:sz w:val="24"/>
                <w:szCs w:val="24"/>
              </w:rPr>
              <w:t>]</w:t>
            </w:r>
            <w:r w:rsidR="00E2092C" w:rsidRPr="00E74947">
              <w:rPr>
                <w:rFonts w:ascii="Arial" w:eastAsia="仿宋_GB2312" w:hAnsi="Arial" w:cs="Times New Roman"/>
                <w:sz w:val="24"/>
                <w:szCs w:val="24"/>
              </w:rPr>
              <w:t>%</w:t>
            </w:r>
          </w:p>
          <w:p w:rsidR="00E2092C" w:rsidRPr="00E74947" w:rsidRDefault="00165C5F" w:rsidP="00BD7A22">
            <w:pPr>
              <w:pStyle w:val="a8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Arial" w:eastAsia="仿宋_GB2312" w:hAnsi="Arial" w:cs="Times New Roman"/>
                <w:sz w:val="24"/>
                <w:szCs w:val="24"/>
              </w:rPr>
            </w:pPr>
            <w:r w:rsidRPr="00E74947">
              <w:rPr>
                <w:rFonts w:ascii="Arial" w:eastAsia="仿宋_GB2312" w:hAnsi="Arial" w:cs="Times New Roman"/>
                <w:sz w:val="24"/>
                <w:szCs w:val="24"/>
              </w:rPr>
              <w:t>中国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电子电器表面处理市场</w:t>
            </w:r>
            <w:r w:rsidR="00474AF4" w:rsidRPr="00E74947">
              <w:rPr>
                <w:rFonts w:ascii="Arial" w:eastAsia="仿宋_GB2312" w:hAnsi="Arial" w:cs="Times New Roman"/>
                <w:sz w:val="24"/>
                <w:szCs w:val="24"/>
              </w:rPr>
              <w:t>：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>维达力</w:t>
            </w:r>
            <w:r w:rsidR="005F74DE" w:rsidRPr="00E74947">
              <w:rPr>
                <w:rFonts w:ascii="Arial" w:eastAsia="仿宋_GB2312" w:hAnsi="Arial" w:cs="Times New Roman"/>
                <w:sz w:val="24"/>
                <w:szCs w:val="24"/>
              </w:rPr>
              <w:t xml:space="preserve">(BVI) </w:t>
            </w:r>
            <w:r w:rsidR="00E2092C" w:rsidRPr="00E74947">
              <w:rPr>
                <w:rFonts w:ascii="Arial" w:eastAsia="仿宋_GB2312" w:hAnsi="Arial" w:cs="Times New Roman"/>
                <w:sz w:val="24"/>
                <w:szCs w:val="24"/>
              </w:rPr>
              <w:t>[0-5]%</w:t>
            </w:r>
          </w:p>
        </w:tc>
      </w:tr>
    </w:tbl>
    <w:p w:rsidR="00094095" w:rsidRPr="00E74947" w:rsidRDefault="00094095" w:rsidP="00094095">
      <w:pPr>
        <w:spacing w:line="500" w:lineRule="exact"/>
        <w:rPr>
          <w:rFonts w:ascii="Arial" w:eastAsia="仿宋_GB2312" w:hAnsi="Arial" w:cs="Times New Roman"/>
          <w:sz w:val="24"/>
          <w:szCs w:val="24"/>
        </w:rPr>
      </w:pPr>
    </w:p>
    <w:p w:rsidR="00C22538" w:rsidRPr="00E74947" w:rsidRDefault="00C22538" w:rsidP="00C22538">
      <w:pPr>
        <w:snapToGrid w:val="0"/>
        <w:spacing w:line="360" w:lineRule="auto"/>
        <w:jc w:val="left"/>
        <w:rPr>
          <w:rFonts w:ascii="Arial" w:eastAsia="仿宋_GB2312" w:hAnsi="Arial" w:cs="Times New Roman"/>
          <w:sz w:val="24"/>
          <w:szCs w:val="24"/>
        </w:rPr>
      </w:pPr>
      <w:r w:rsidRPr="00E74947">
        <w:rPr>
          <w:rFonts w:ascii="Arial" w:eastAsia="仿宋_GB2312" w:hAnsi="Arial" w:cs="Times New Roman"/>
          <w:sz w:val="24"/>
          <w:szCs w:val="24"/>
        </w:rPr>
        <w:t>注解：</w:t>
      </w:r>
    </w:p>
    <w:p w:rsidR="00C22538" w:rsidRPr="00E74947" w:rsidRDefault="00C22538" w:rsidP="00C22538">
      <w:pPr>
        <w:snapToGrid w:val="0"/>
        <w:spacing w:line="360" w:lineRule="auto"/>
        <w:jc w:val="left"/>
        <w:rPr>
          <w:rFonts w:ascii="Arial" w:eastAsia="仿宋_GB2312" w:hAnsi="Arial" w:cs="Times New Roman"/>
          <w:sz w:val="24"/>
          <w:szCs w:val="24"/>
        </w:rPr>
      </w:pPr>
      <w:r w:rsidRPr="00E74947">
        <w:rPr>
          <w:rFonts w:ascii="Arial" w:eastAsia="仿宋_GB2312" w:hAnsi="Arial" w:cs="Times New Roman"/>
          <w:sz w:val="24"/>
          <w:szCs w:val="24"/>
        </w:rPr>
        <w:t>1</w:t>
      </w:r>
      <w:r w:rsidRPr="00E74947">
        <w:rPr>
          <w:rFonts w:ascii="Arial" w:eastAsia="仿宋_GB2312" w:hAnsi="Arial" w:cs="Times New Roman"/>
          <w:sz w:val="24"/>
          <w:szCs w:val="24"/>
        </w:rPr>
        <w:t>、申报方申请简易案件的理由是基于</w:t>
      </w:r>
      <w:r w:rsidRPr="00E74947">
        <w:rPr>
          <w:rFonts w:ascii="Arial" w:eastAsia="仿宋_GB2312" w:hAnsi="Arial" w:cs="Times New Roman"/>
          <w:sz w:val="24"/>
          <w:szCs w:val="24"/>
        </w:rPr>
        <w:t>1-3</w:t>
      </w:r>
      <w:r w:rsidRPr="00E74947">
        <w:rPr>
          <w:rFonts w:ascii="Arial" w:eastAsia="仿宋_GB2312" w:hAnsi="Arial" w:cs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74947">
        <w:rPr>
          <w:rFonts w:ascii="Arial" w:eastAsia="仿宋_GB2312" w:hAnsi="Arial" w:cs="Times New Roman"/>
          <w:sz w:val="24"/>
          <w:szCs w:val="24"/>
        </w:rPr>
        <w:t>5%</w:t>
      </w:r>
      <w:r w:rsidRPr="00E74947">
        <w:rPr>
          <w:rFonts w:ascii="Arial" w:eastAsia="仿宋_GB2312" w:hAnsi="Arial" w:cs="Times New Roman"/>
          <w:sz w:val="24"/>
          <w:szCs w:val="24"/>
        </w:rPr>
        <w:t>。</w:t>
      </w:r>
      <w:r w:rsidRPr="00E74947">
        <w:rPr>
          <w:rFonts w:ascii="Arial" w:eastAsia="仿宋_GB2312" w:hAnsi="Arial" w:cs="Times New Roman"/>
          <w:sz w:val="24"/>
          <w:szCs w:val="24"/>
        </w:rPr>
        <w:t>1-3</w:t>
      </w:r>
      <w:r w:rsidRPr="00E74947">
        <w:rPr>
          <w:rFonts w:ascii="Arial" w:eastAsia="仿宋_GB2312" w:hAnsi="Arial" w:cs="Times New Roman"/>
          <w:sz w:val="24"/>
          <w:szCs w:val="24"/>
        </w:rPr>
        <w:t>项可以多选，也可单选；</w:t>
      </w:r>
      <w:proofErr w:type="gramStart"/>
      <w:r w:rsidRPr="00E74947">
        <w:rPr>
          <w:rFonts w:ascii="Arial" w:eastAsia="仿宋_GB2312" w:hAnsi="Arial" w:cs="Times New Roman"/>
          <w:sz w:val="24"/>
          <w:szCs w:val="24"/>
        </w:rPr>
        <w:t>没有勾选的</w:t>
      </w:r>
      <w:proofErr w:type="gramEnd"/>
      <w:r w:rsidRPr="00E74947">
        <w:rPr>
          <w:rFonts w:ascii="Arial" w:eastAsia="仿宋_GB2312" w:hAnsi="Arial" w:cs="Times New Roman"/>
          <w:sz w:val="24"/>
          <w:szCs w:val="24"/>
        </w:rPr>
        <w:t>，视为本集中不涉及该类型交易。</w:t>
      </w:r>
    </w:p>
    <w:p w:rsidR="00F87C1F" w:rsidRPr="00E74947" w:rsidRDefault="00C22538" w:rsidP="00C22538">
      <w:pPr>
        <w:rPr>
          <w:rFonts w:ascii="Arial" w:eastAsia="仿宋_GB2312" w:hAnsi="Arial" w:cs="Times New Roman"/>
          <w:sz w:val="24"/>
          <w:szCs w:val="24"/>
        </w:rPr>
      </w:pPr>
      <w:r w:rsidRPr="00E74947">
        <w:rPr>
          <w:rFonts w:ascii="Arial" w:eastAsia="仿宋_GB2312" w:hAnsi="Arial" w:cs="Times New Roman"/>
          <w:sz w:val="24"/>
          <w:szCs w:val="24"/>
        </w:rPr>
        <w:t>2</w:t>
      </w:r>
      <w:r w:rsidRPr="00E74947">
        <w:rPr>
          <w:rFonts w:ascii="Arial" w:eastAsia="仿宋_GB2312" w:hAnsi="Arial" w:cs="Times New Roman"/>
          <w:sz w:val="24"/>
          <w:szCs w:val="24"/>
        </w:rPr>
        <w:t>、申报方申请简易案件的理由是基于第</w:t>
      </w:r>
      <w:r w:rsidRPr="00E74947">
        <w:rPr>
          <w:rFonts w:ascii="Arial" w:eastAsia="仿宋_GB2312" w:hAnsi="Arial" w:cs="Times New Roman"/>
          <w:sz w:val="24"/>
          <w:szCs w:val="24"/>
        </w:rPr>
        <w:t>4</w:t>
      </w:r>
      <w:r w:rsidRPr="00E74947">
        <w:rPr>
          <w:rFonts w:ascii="Arial" w:eastAsia="仿宋_GB2312" w:hAnsi="Arial" w:cs="Times New Roman"/>
          <w:sz w:val="24"/>
          <w:szCs w:val="24"/>
        </w:rPr>
        <w:t>项、第</w:t>
      </w:r>
      <w:r w:rsidRPr="00E74947">
        <w:rPr>
          <w:rFonts w:ascii="Arial" w:eastAsia="仿宋_GB2312" w:hAnsi="Arial" w:cs="Times New Roman"/>
          <w:sz w:val="24"/>
          <w:szCs w:val="24"/>
        </w:rPr>
        <w:t>5</w:t>
      </w:r>
      <w:r w:rsidRPr="00E74947">
        <w:rPr>
          <w:rFonts w:ascii="Arial" w:eastAsia="仿宋_GB2312" w:hAnsi="Arial" w:cs="Times New Roman"/>
          <w:sz w:val="24"/>
          <w:szCs w:val="24"/>
        </w:rPr>
        <w:t>项时，无须在备注中说明相关市场和市场份额。</w:t>
      </w:r>
      <w:r w:rsidRPr="00E74947">
        <w:rPr>
          <w:rFonts w:ascii="Arial" w:eastAsia="仿宋_GB2312" w:hAnsi="Arial" w:cs="Times New Roman"/>
          <w:sz w:val="24"/>
          <w:szCs w:val="24"/>
        </w:rPr>
        <w:br/>
      </w:r>
      <w:r w:rsidRPr="00E74947">
        <w:rPr>
          <w:rFonts w:ascii="Arial" w:eastAsia="仿宋_GB2312" w:hAnsi="Arial" w:cs="Times New Roman"/>
          <w:sz w:val="24"/>
          <w:szCs w:val="24"/>
        </w:rPr>
        <w:lastRenderedPageBreak/>
        <w:t>3</w:t>
      </w:r>
      <w:r w:rsidRPr="00E74947">
        <w:rPr>
          <w:rFonts w:ascii="Arial" w:eastAsia="仿宋_GB2312" w:hAnsi="Arial" w:cs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E74947">
        <w:rPr>
          <w:rFonts w:ascii="Arial" w:eastAsia="仿宋_GB2312" w:hAnsi="Arial" w:cs="Times New Roman"/>
          <w:sz w:val="24"/>
          <w:szCs w:val="24"/>
        </w:rPr>
        <w:t>同时勾选第</w:t>
      </w:r>
      <w:r w:rsidRPr="00E74947">
        <w:rPr>
          <w:rFonts w:ascii="Arial" w:eastAsia="仿宋_GB2312" w:hAnsi="Arial" w:cs="Times New Roman"/>
          <w:sz w:val="24"/>
          <w:szCs w:val="24"/>
        </w:rPr>
        <w:t>1</w:t>
      </w:r>
      <w:r w:rsidRPr="00E74947">
        <w:rPr>
          <w:rFonts w:ascii="Arial" w:eastAsia="仿宋_GB2312" w:hAnsi="Arial" w:cs="Times New Roman"/>
          <w:sz w:val="24"/>
          <w:szCs w:val="24"/>
        </w:rPr>
        <w:t>项</w:t>
      </w:r>
      <w:proofErr w:type="gramEnd"/>
      <w:r w:rsidRPr="00E74947">
        <w:rPr>
          <w:rFonts w:ascii="Arial" w:eastAsia="仿宋_GB2312" w:hAnsi="Arial" w:cs="Times New Roman"/>
          <w:sz w:val="24"/>
          <w:szCs w:val="24"/>
        </w:rPr>
        <w:t>和第</w:t>
      </w:r>
      <w:r w:rsidRPr="00E74947">
        <w:rPr>
          <w:rFonts w:ascii="Arial" w:eastAsia="仿宋_GB2312" w:hAnsi="Arial" w:cs="Times New Roman"/>
          <w:sz w:val="24"/>
          <w:szCs w:val="24"/>
        </w:rPr>
        <w:t>6</w:t>
      </w:r>
      <w:r w:rsidRPr="00E74947">
        <w:rPr>
          <w:rFonts w:ascii="Arial" w:eastAsia="仿宋_GB2312" w:hAnsi="Arial" w:cs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74947">
        <w:rPr>
          <w:rFonts w:ascii="Arial" w:eastAsia="仿宋_GB2312" w:hAnsi="Arial" w:cs="Times New Roman"/>
          <w:sz w:val="24"/>
          <w:szCs w:val="24"/>
        </w:rPr>
        <w:t>5%</w:t>
      </w:r>
      <w:r w:rsidRPr="00E74947">
        <w:rPr>
          <w:rFonts w:ascii="Arial" w:eastAsia="仿宋_GB2312" w:hAnsi="Arial" w:cs="Times New Roman"/>
          <w:sz w:val="24"/>
          <w:szCs w:val="24"/>
        </w:rPr>
        <w:t>。</w:t>
      </w:r>
    </w:p>
    <w:sectPr w:rsidR="00F87C1F" w:rsidRPr="00E74947" w:rsidSect="0046384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62E6" w:rsidRDefault="006462E6" w:rsidP="00094095">
      <w:r>
        <w:separator/>
      </w:r>
    </w:p>
  </w:endnote>
  <w:endnote w:type="continuationSeparator" w:id="0">
    <w:p w:rsidR="006462E6" w:rsidRDefault="006462E6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 w:cs="Times New Roman"/>
      </w:rPr>
      <w:id w:val="-48593596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:rsidR="00BD7A22" w:rsidRPr="00BD7A22" w:rsidRDefault="00BD7A22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BD7A22">
              <w:rPr>
                <w:rFonts w:ascii="Times New Roman" w:hAnsi="Times New Roman" w:cs="Times New Roman"/>
                <w:lang w:val="zh-CN"/>
              </w:rPr>
              <w:t xml:space="preserve"> </w:t>
            </w:r>
            <w:r w:rsidR="00463846"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D7A22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="00463846"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24854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="00463846"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BD7A22">
              <w:rPr>
                <w:rFonts w:ascii="Times New Roman" w:hAnsi="Times New Roman" w:cs="Times New Roman"/>
                <w:lang w:val="zh-CN"/>
              </w:rPr>
              <w:t xml:space="preserve"> / </w:t>
            </w:r>
            <w:r w:rsidR="00463846"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D7A22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="00463846"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24854">
              <w:rPr>
                <w:rFonts w:ascii="Times New Roman" w:hAnsi="Times New Roman" w:cs="Times New Roman"/>
                <w:b/>
                <w:bCs/>
                <w:noProof/>
              </w:rPr>
              <w:t>3</w:t>
            </w:r>
            <w:r w:rsidR="00463846" w:rsidRPr="00BD7A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D7A22" w:rsidRPr="00BD7A22" w:rsidRDefault="00BD7A22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62E6" w:rsidRDefault="006462E6" w:rsidP="00094095">
      <w:r>
        <w:separator/>
      </w:r>
    </w:p>
  </w:footnote>
  <w:footnote w:type="continuationSeparator" w:id="0">
    <w:p w:rsidR="006462E6" w:rsidRDefault="006462E6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ADB2F1C"/>
    <w:multiLevelType w:val="hybridMultilevel"/>
    <w:tmpl w:val="21E8332E"/>
    <w:lvl w:ilvl="0" w:tplc="CD782FFE">
      <w:start w:val="1"/>
      <w:numFmt w:val="decimal"/>
      <w:lvlText w:val="%1."/>
      <w:lvlJc w:val="left"/>
      <w:pPr>
        <w:ind w:left="360" w:hanging="360"/>
      </w:pPr>
      <w:rPr>
        <w:rFonts w:ascii="Times New Roman" w:eastAsia="仿宋_GB2312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152B3"/>
    <w:rsid w:val="00033FDB"/>
    <w:rsid w:val="00051C75"/>
    <w:rsid w:val="00075455"/>
    <w:rsid w:val="00090C85"/>
    <w:rsid w:val="00094095"/>
    <w:rsid w:val="000D2E60"/>
    <w:rsid w:val="0014290A"/>
    <w:rsid w:val="00150E03"/>
    <w:rsid w:val="00165C5F"/>
    <w:rsid w:val="0016704D"/>
    <w:rsid w:val="00197DF6"/>
    <w:rsid w:val="001E5106"/>
    <w:rsid w:val="001F22A4"/>
    <w:rsid w:val="002421BA"/>
    <w:rsid w:val="00260862"/>
    <w:rsid w:val="002B27F6"/>
    <w:rsid w:val="002E0FF2"/>
    <w:rsid w:val="00422713"/>
    <w:rsid w:val="00436DE9"/>
    <w:rsid w:val="00462174"/>
    <w:rsid w:val="00463846"/>
    <w:rsid w:val="00470CDE"/>
    <w:rsid w:val="00474AF4"/>
    <w:rsid w:val="00574C1B"/>
    <w:rsid w:val="005C4AE3"/>
    <w:rsid w:val="005C5697"/>
    <w:rsid w:val="005F74DE"/>
    <w:rsid w:val="00624854"/>
    <w:rsid w:val="00643BA7"/>
    <w:rsid w:val="006462E6"/>
    <w:rsid w:val="006928FD"/>
    <w:rsid w:val="0072038D"/>
    <w:rsid w:val="007434F5"/>
    <w:rsid w:val="00774D23"/>
    <w:rsid w:val="00792C5D"/>
    <w:rsid w:val="007A0550"/>
    <w:rsid w:val="0082331E"/>
    <w:rsid w:val="00826CD9"/>
    <w:rsid w:val="00912E52"/>
    <w:rsid w:val="009311F6"/>
    <w:rsid w:val="00981297"/>
    <w:rsid w:val="00A215C0"/>
    <w:rsid w:val="00A36511"/>
    <w:rsid w:val="00A3663A"/>
    <w:rsid w:val="00A85090"/>
    <w:rsid w:val="00A86B91"/>
    <w:rsid w:val="00A913EF"/>
    <w:rsid w:val="00AC26DC"/>
    <w:rsid w:val="00AC6727"/>
    <w:rsid w:val="00B00C8C"/>
    <w:rsid w:val="00B71B1B"/>
    <w:rsid w:val="00B94422"/>
    <w:rsid w:val="00BC2FA1"/>
    <w:rsid w:val="00BD7A22"/>
    <w:rsid w:val="00C05033"/>
    <w:rsid w:val="00C22538"/>
    <w:rsid w:val="00C300C8"/>
    <w:rsid w:val="00CA48F1"/>
    <w:rsid w:val="00CC41E5"/>
    <w:rsid w:val="00CE0897"/>
    <w:rsid w:val="00D35847"/>
    <w:rsid w:val="00D661C7"/>
    <w:rsid w:val="00DF5E25"/>
    <w:rsid w:val="00E14001"/>
    <w:rsid w:val="00E2092C"/>
    <w:rsid w:val="00E74947"/>
    <w:rsid w:val="00F16128"/>
    <w:rsid w:val="00F23AF2"/>
    <w:rsid w:val="00F60E13"/>
    <w:rsid w:val="00F82FFF"/>
    <w:rsid w:val="00F87C1F"/>
    <w:rsid w:val="00FB6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uiPriority w:val="99"/>
    <w:rsid w:val="001F22A4"/>
    <w:rPr>
      <w:sz w:val="21"/>
      <w:szCs w:val="21"/>
    </w:rPr>
  </w:style>
  <w:style w:type="paragraph" w:styleId="ab">
    <w:name w:val="annotation text"/>
    <w:basedOn w:val="a"/>
    <w:link w:val="Char3"/>
    <w:uiPriority w:val="99"/>
    <w:rsid w:val="001F22A4"/>
    <w:pPr>
      <w:jc w:val="left"/>
    </w:pPr>
    <w:rPr>
      <w:rFonts w:ascii="Times New Roman" w:eastAsia="宋体" w:hAnsi="Times New Roman" w:cs="Times New Roman"/>
      <w:szCs w:val="24"/>
      <w:lang/>
    </w:rPr>
  </w:style>
  <w:style w:type="character" w:customStyle="1" w:styleId="Char3">
    <w:name w:val="批注文字 Char"/>
    <w:basedOn w:val="a0"/>
    <w:link w:val="ab"/>
    <w:uiPriority w:val="99"/>
    <w:rsid w:val="001F22A4"/>
    <w:rPr>
      <w:rFonts w:ascii="Times New Roman" w:eastAsia="宋体" w:hAnsi="Times New Roman" w:cs="Times New Roman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</cp:lastModifiedBy>
  <cp:revision>18</cp:revision>
  <cp:lastPrinted>2016-12-23T09:19:00Z</cp:lastPrinted>
  <dcterms:created xsi:type="dcterms:W3CDTF">2021-04-15T15:55:00Z</dcterms:created>
  <dcterms:modified xsi:type="dcterms:W3CDTF">2021-05-10T10:06:00Z</dcterms:modified>
</cp:coreProperties>
</file>