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center"/>
        <w:rPr>
          <w:rFonts w:ascii="Times New Roman" w:hAnsi="Times New Roman"/>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t>经营者集中简易案件公示表</w:t>
      </w: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r>
              <w:rPr>
                <w:rFonts w:ascii="Times New Roman" w:hAnsi="Times New Roman"/>
                <w:b/>
                <w:color w:val="000000" w:themeColor="text1"/>
                <w:kern w:val="0"/>
                <w:sz w:val="24"/>
                <w:szCs w:val="24"/>
                <w14:textFill>
                  <w14:solidFill>
                    <w14:schemeClr w14:val="tx1"/>
                  </w14:solidFill>
                </w14:textFill>
              </w:rPr>
              <w:t>案件名称</w:t>
            </w:r>
          </w:p>
        </w:tc>
        <w:tc>
          <w:tcPr>
            <w:tcW w:w="6949" w:type="dxa"/>
            <w:gridSpan w:val="2"/>
          </w:tcPr>
          <w:p>
            <w:pPr>
              <w:snapToGrid w:val="0"/>
              <w:rPr>
                <w:rFonts w:ascii="Times New Roman" w:hAnsi="Times New Roman"/>
                <w:color w:val="000000" w:themeColor="text1"/>
                <w:kern w:val="0"/>
                <w:sz w:val="24"/>
                <w:szCs w:val="24"/>
                <w14:textFill>
                  <w14:solidFill>
                    <w14:schemeClr w14:val="tx1"/>
                  </w14:solidFill>
                </w14:textFill>
              </w:rPr>
            </w:pPr>
          </w:p>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14:textFill>
                  <w14:solidFill>
                    <w14:schemeClr w14:val="tx1"/>
                  </w14:solidFill>
                </w14:textFill>
              </w:rPr>
              <w:t xml:space="preserve">EIG </w:t>
            </w:r>
            <w:r>
              <w:rPr>
                <w:rFonts w:hint="eastAsia" w:ascii="Times New Roman" w:hAnsi="Times New Roman"/>
                <w:color w:val="000000" w:themeColor="text1"/>
                <w:kern w:val="0"/>
                <w:sz w:val="24"/>
                <w:szCs w:val="24"/>
                <w14:textFill>
                  <w14:solidFill>
                    <w14:schemeClr w14:val="tx1"/>
                  </w14:solidFill>
                </w14:textFill>
              </w:rPr>
              <w:t>珍珠控股有限公司收购阿美石油管道公司股权案</w:t>
            </w:r>
          </w:p>
          <w:p>
            <w:pPr>
              <w:snapToGrid w:val="0"/>
              <w:rPr>
                <w:rFonts w:ascii="Times New Roman" w:hAnsi="Times New Roman"/>
                <w:color w:val="000000" w:themeColor="text1"/>
                <w:kern w:val="0"/>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r>
              <w:rPr>
                <w:rFonts w:ascii="Times New Roman" w:hAnsi="Times New Roman"/>
                <w:b/>
                <w:color w:val="000000" w:themeColor="text1"/>
                <w:kern w:val="0"/>
                <w:sz w:val="24"/>
                <w:szCs w:val="24"/>
                <w14:textFill>
                  <w14:solidFill>
                    <w14:schemeClr w14:val="tx1"/>
                  </w14:solidFill>
                </w14:textFill>
              </w:rPr>
              <w:t>交易概况</w:t>
            </w:r>
          </w:p>
          <w:p>
            <w:pPr>
              <w:snapToGrid w:val="0"/>
              <w:jc w:val="center"/>
              <w:rPr>
                <w:rFonts w:ascii="Times New Roman" w:hAnsi="Times New Roman"/>
                <w:b/>
                <w:color w:val="000000" w:themeColor="text1"/>
                <w:kern w:val="0"/>
                <w:sz w:val="24"/>
                <w:szCs w:val="24"/>
                <w14:textFill>
                  <w14:solidFill>
                    <w14:schemeClr w14:val="tx1"/>
                  </w14:solidFill>
                </w14:textFill>
              </w:rPr>
            </w:pPr>
            <w:r>
              <w:rPr>
                <w:rFonts w:ascii="Times New Roman" w:hAnsi="Times New Roman"/>
                <w:b/>
                <w:color w:val="000000" w:themeColor="text1"/>
                <w:kern w:val="0"/>
                <w:sz w:val="24"/>
                <w:szCs w:val="24"/>
                <w14:textFill>
                  <w14:solidFill>
                    <w14:schemeClr w14:val="tx1"/>
                  </w14:solidFill>
                </w14:textFill>
              </w:rPr>
              <w:t>（限200字内）</w:t>
            </w:r>
          </w:p>
        </w:tc>
        <w:tc>
          <w:tcPr>
            <w:tcW w:w="6949" w:type="dxa"/>
            <w:gridSpan w:val="2"/>
          </w:tcPr>
          <w:p>
            <w:pPr>
              <w:rPr>
                <w:rFonts w:ascii="Times New Roman" w:hAnsi="Times New Roman"/>
                <w:color w:val="000000" w:themeColor="text1"/>
                <w:kern w:val="0"/>
                <w:sz w:val="24"/>
                <w:szCs w:val="24"/>
                <w14:textFill>
                  <w14:solidFill>
                    <w14:schemeClr w14:val="tx1"/>
                  </w14:solidFill>
                </w14:textFill>
              </w:rPr>
            </w:pPr>
          </w:p>
          <w:p>
            <w:pPr>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14:textFill>
                  <w14:solidFill>
                    <w14:schemeClr w14:val="tx1"/>
                  </w14:solidFill>
                </w14:textFill>
              </w:rPr>
              <w:t>2021</w:t>
            </w:r>
            <w:r>
              <w:rPr>
                <w:rFonts w:hint="eastAsia" w:ascii="Times New Roman" w:hAnsi="Times New Roman"/>
                <w:color w:val="000000" w:themeColor="text1"/>
                <w:kern w:val="0"/>
                <w:sz w:val="24"/>
                <w:szCs w:val="24"/>
                <w14:textFill>
                  <w14:solidFill>
                    <w14:schemeClr w14:val="tx1"/>
                  </w14:solidFill>
                </w14:textFill>
              </w:rPr>
              <w:t>年</w:t>
            </w:r>
            <w:r>
              <w:rPr>
                <w:rFonts w:ascii="Times New Roman" w:hAnsi="Times New Roman"/>
                <w:color w:val="000000" w:themeColor="text1"/>
                <w:kern w:val="0"/>
                <w:sz w:val="24"/>
                <w:szCs w:val="24"/>
                <w14:textFill>
                  <w14:solidFill>
                    <w14:schemeClr w14:val="tx1"/>
                  </w14:solidFill>
                </w14:textFill>
              </w:rPr>
              <w:t>4</w:t>
            </w:r>
            <w:r>
              <w:rPr>
                <w:rFonts w:hint="eastAsia" w:ascii="Times New Roman" w:hAnsi="Times New Roman"/>
                <w:color w:val="000000" w:themeColor="text1"/>
                <w:kern w:val="0"/>
                <w:sz w:val="24"/>
                <w:szCs w:val="24"/>
                <w14:textFill>
                  <w14:solidFill>
                    <w14:schemeClr w14:val="tx1"/>
                  </w14:solidFill>
                </w14:textFill>
              </w:rPr>
              <w:t>月</w:t>
            </w:r>
            <w:r>
              <w:rPr>
                <w:rFonts w:ascii="Times New Roman" w:hAnsi="Times New Roman"/>
                <w:color w:val="000000" w:themeColor="text1"/>
                <w:kern w:val="0"/>
                <w:sz w:val="24"/>
                <w:szCs w:val="24"/>
                <w14:textFill>
                  <w14:solidFill>
                    <w14:schemeClr w14:val="tx1"/>
                  </w14:solidFill>
                </w14:textFill>
              </w:rPr>
              <w:t>9</w:t>
            </w:r>
            <w:r>
              <w:rPr>
                <w:rFonts w:hint="eastAsia" w:ascii="Times New Roman" w:hAnsi="Times New Roman"/>
                <w:color w:val="000000" w:themeColor="text1"/>
                <w:kern w:val="0"/>
                <w:sz w:val="24"/>
                <w:szCs w:val="24"/>
                <w14:textFill>
                  <w14:solidFill>
                    <w14:schemeClr w14:val="tx1"/>
                  </w14:solidFill>
                </w14:textFill>
              </w:rPr>
              <w:t>日，沙特阿拉伯石油公司（“</w:t>
            </w:r>
            <w:r>
              <w:rPr>
                <w:rFonts w:hint="eastAsia" w:ascii="Times New Roman" w:hAnsi="Times New Roman"/>
                <w:b/>
                <w:bCs/>
                <w:color w:val="000000" w:themeColor="text1"/>
                <w:kern w:val="0"/>
                <w:sz w:val="24"/>
                <w:szCs w:val="24"/>
                <w14:textFill>
                  <w14:solidFill>
                    <w14:schemeClr w14:val="tx1"/>
                  </w14:solidFill>
                </w14:textFill>
              </w:rPr>
              <w:t>沙特阿美</w:t>
            </w:r>
            <w:r>
              <w:rPr>
                <w:rFonts w:hint="eastAsia" w:ascii="Times New Roman" w:hAnsi="Times New Roman"/>
                <w:color w:val="000000" w:themeColor="text1"/>
                <w:kern w:val="0"/>
                <w:sz w:val="24"/>
                <w:szCs w:val="24"/>
                <w14:textFill>
                  <w14:solidFill>
                    <w14:schemeClr w14:val="tx1"/>
                  </w14:solidFill>
                </w14:textFill>
              </w:rPr>
              <w:t>”）的全资子公司阿美石油管道公司和</w:t>
            </w:r>
            <w:r>
              <w:rPr>
                <w:rFonts w:ascii="Times New Roman" w:hAnsi="Times New Roman"/>
                <w:color w:val="000000" w:themeColor="text1"/>
                <w:kern w:val="0"/>
                <w:sz w:val="24"/>
                <w:szCs w:val="24"/>
                <w14:textFill>
                  <w14:solidFill>
                    <w14:schemeClr w14:val="tx1"/>
                  </w14:solidFill>
                </w14:textFill>
              </w:rPr>
              <w:t xml:space="preserve">EIG </w:t>
            </w:r>
            <w:r>
              <w:rPr>
                <w:rFonts w:hint="eastAsia" w:ascii="Times New Roman" w:hAnsi="Times New Roman"/>
                <w:color w:val="000000" w:themeColor="text1"/>
                <w:kern w:val="0"/>
                <w:sz w:val="24"/>
                <w:szCs w:val="24"/>
                <w14:textFill>
                  <w14:solidFill>
                    <w14:schemeClr w14:val="tx1"/>
                  </w14:solidFill>
                </w14:textFill>
              </w:rPr>
              <w:t>珍珠控股有限责任公司（“</w:t>
            </w:r>
            <w:r>
              <w:rPr>
                <w:rFonts w:ascii="Times New Roman" w:hAnsi="Times New Roman"/>
                <w:color w:val="000000" w:themeColor="text1"/>
                <w:kern w:val="0"/>
                <w:sz w:val="24"/>
                <w:szCs w:val="24"/>
                <w14:textFill>
                  <w14:solidFill>
                    <w14:schemeClr w14:val="tx1"/>
                  </w14:solidFill>
                </w14:textFill>
              </w:rPr>
              <w:t xml:space="preserve">EIG </w:t>
            </w:r>
            <w:r>
              <w:rPr>
                <w:rFonts w:hint="eastAsia" w:ascii="Times New Roman" w:hAnsi="Times New Roman"/>
                <w:color w:val="000000" w:themeColor="text1"/>
                <w:kern w:val="0"/>
                <w:sz w:val="24"/>
                <w:szCs w:val="24"/>
                <w14:textFill>
                  <w14:solidFill>
                    <w14:schemeClr w14:val="tx1"/>
                  </w14:solidFill>
                </w14:textFill>
              </w:rPr>
              <w:t>珍珠”）就收购阿美石油管道公司</w:t>
            </w:r>
            <w:r>
              <w:rPr>
                <w:rFonts w:ascii="Times New Roman" w:hAnsi="Times New Roman"/>
                <w:color w:val="000000" w:themeColor="text1"/>
                <w:kern w:val="0"/>
                <w:sz w:val="24"/>
                <w:szCs w:val="24"/>
                <w14:textFill>
                  <w14:solidFill>
                    <w14:schemeClr w14:val="tx1"/>
                  </w14:solidFill>
                </w14:textFill>
              </w:rPr>
              <w:t>49%</w:t>
            </w:r>
            <w:r>
              <w:rPr>
                <w:rFonts w:hint="eastAsia" w:ascii="Times New Roman" w:hAnsi="Times New Roman"/>
                <w:color w:val="000000" w:themeColor="text1"/>
                <w:kern w:val="0"/>
                <w:sz w:val="24"/>
                <w:szCs w:val="24"/>
                <w14:textFill>
                  <w14:solidFill>
                    <w14:schemeClr w14:val="tx1"/>
                  </w14:solidFill>
                </w14:textFill>
              </w:rPr>
              <w:t>的股份签订了股份购买协议，交易金额为</w:t>
            </w:r>
            <w:r>
              <w:rPr>
                <w:rFonts w:hint="eastAsia" w:ascii="Times New Roman" w:hAnsi="Times New Roman"/>
                <w:color w:val="000000" w:themeColor="text1"/>
                <w:kern w:val="0"/>
                <w:sz w:val="24"/>
                <w:szCs w:val="24"/>
                <w:lang w:val="en-US" w:eastAsia="zh-CN"/>
                <w14:textFill>
                  <w14:solidFill>
                    <w14:schemeClr w14:val="tx1"/>
                  </w14:solidFill>
                </w14:textFill>
              </w:rPr>
              <w:t>812</w:t>
            </w:r>
            <w:r>
              <w:rPr>
                <w:rFonts w:hint="eastAsia" w:ascii="Times New Roman" w:hAnsi="Times New Roman"/>
                <w:color w:val="000000" w:themeColor="text1"/>
                <w:kern w:val="0"/>
                <w:sz w:val="24"/>
                <w:szCs w:val="24"/>
                <w14:textFill>
                  <w14:solidFill>
                    <w14:schemeClr w14:val="tx1"/>
                  </w14:solidFill>
                </w14:textFill>
              </w:rPr>
              <w:t>亿</w:t>
            </w:r>
            <w:r>
              <w:rPr>
                <w:rFonts w:hint="eastAsia" w:ascii="Times New Roman" w:hAnsi="Times New Roman"/>
                <w:color w:val="000000" w:themeColor="text1"/>
                <w:kern w:val="0"/>
                <w:sz w:val="24"/>
                <w:szCs w:val="24"/>
                <w:lang w:val="en-US" w:eastAsia="zh-CN"/>
                <w14:textFill>
                  <w14:solidFill>
                    <w14:schemeClr w14:val="tx1"/>
                  </w14:solidFill>
                </w14:textFill>
              </w:rPr>
              <w:t>元人民币</w:t>
            </w:r>
            <w:bookmarkStart w:id="2" w:name="_GoBack"/>
            <w:bookmarkEnd w:id="2"/>
            <w:r>
              <w:rPr>
                <w:rFonts w:hint="eastAsia" w:ascii="Times New Roman" w:hAnsi="Times New Roman"/>
                <w:color w:val="000000" w:themeColor="text1"/>
                <w:kern w:val="0"/>
                <w:sz w:val="24"/>
                <w:szCs w:val="24"/>
                <w14:textFill>
                  <w14:solidFill>
                    <w14:schemeClr w14:val="tx1"/>
                  </w14:solidFill>
                </w14:textFill>
              </w:rPr>
              <w:t>。</w:t>
            </w:r>
          </w:p>
          <w:p>
            <w:pPr>
              <w:rPr>
                <w:rFonts w:ascii="Times New Roman" w:hAnsi="Times New Roman"/>
                <w:color w:val="000000" w:themeColor="text1"/>
                <w:kern w:val="0"/>
                <w:sz w:val="24"/>
                <w:szCs w:val="24"/>
                <w14:textFill>
                  <w14:solidFill>
                    <w14:schemeClr w14:val="tx1"/>
                  </w14:solidFill>
                </w14:textFill>
              </w:rPr>
            </w:pPr>
          </w:p>
          <w:p>
            <w:pPr>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本交易交割后，阿美石油管道公司将从沙特阿美租赁沙特阿美稳定原油管道系统</w:t>
            </w:r>
            <w:r>
              <w:rPr>
                <w:rFonts w:ascii="Times New Roman" w:hAnsi="Times New Roman"/>
                <w:color w:val="000000" w:themeColor="text1"/>
                <w:kern w:val="0"/>
                <w:sz w:val="24"/>
                <w:szCs w:val="24"/>
                <w14:textFill>
                  <w14:solidFill>
                    <w14:schemeClr w14:val="tx1"/>
                  </w14:solidFill>
                </w14:textFill>
              </w:rPr>
              <w:t>25</w:t>
            </w:r>
            <w:r>
              <w:rPr>
                <w:rFonts w:hint="eastAsia" w:ascii="Times New Roman" w:hAnsi="Times New Roman"/>
                <w:color w:val="000000" w:themeColor="text1"/>
                <w:kern w:val="0"/>
                <w:sz w:val="24"/>
                <w:szCs w:val="24"/>
                <w14:textFill>
                  <w14:solidFill>
                    <w14:schemeClr w14:val="tx1"/>
                  </w14:solidFill>
                </w14:textFill>
              </w:rPr>
              <w:t>年期的使用权，同时将管道的使用、通过输送、运营和维护的权利回授予沙特阿美。作为回报，沙特阿美将就通过管道网络运输的稳定原油按季度向阿美石油管道公司付费。</w:t>
            </w:r>
          </w:p>
          <w:p>
            <w:pPr>
              <w:rPr>
                <w:rFonts w:ascii="Times New Roman" w:hAnsi="Times New Roman"/>
                <w:color w:val="000000" w:themeColor="text1"/>
                <w:kern w:val="0"/>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8" w:hRule="atLeast"/>
        </w:trPr>
        <w:tc>
          <w:tcPr>
            <w:tcW w:w="1809" w:type="dxa"/>
            <w:vMerge w:val="restart"/>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r>
              <w:rPr>
                <w:rFonts w:ascii="Times New Roman" w:hAnsi="Times New Roman"/>
                <w:b/>
                <w:color w:val="000000" w:themeColor="text1"/>
                <w:kern w:val="0"/>
                <w:sz w:val="24"/>
                <w:szCs w:val="24"/>
                <w14:textFill>
                  <w14:solidFill>
                    <w14:schemeClr w14:val="tx1"/>
                  </w14:solidFill>
                </w14:textFill>
              </w:rPr>
              <w:t>参与集中的</w:t>
            </w:r>
          </w:p>
          <w:p>
            <w:pPr>
              <w:snapToGrid w:val="0"/>
              <w:jc w:val="center"/>
              <w:rPr>
                <w:rFonts w:ascii="Times New Roman" w:hAnsi="Times New Roman"/>
                <w:b/>
                <w:color w:val="000000" w:themeColor="text1"/>
                <w:kern w:val="0"/>
                <w:sz w:val="24"/>
                <w:szCs w:val="24"/>
                <w14:textFill>
                  <w14:solidFill>
                    <w14:schemeClr w14:val="tx1"/>
                  </w14:solidFill>
                </w14:textFill>
              </w:rPr>
            </w:pPr>
            <w:r>
              <w:rPr>
                <w:rFonts w:ascii="Times New Roman" w:hAnsi="Times New Roman"/>
                <w:b/>
                <w:color w:val="000000" w:themeColor="text1"/>
                <w:kern w:val="0"/>
                <w:sz w:val="24"/>
                <w:szCs w:val="24"/>
                <w14:textFill>
                  <w14:solidFill>
                    <w14:schemeClr w14:val="tx1"/>
                  </w14:solidFill>
                </w14:textFill>
              </w:rPr>
              <w:t>经营者简介</w:t>
            </w:r>
          </w:p>
        </w:tc>
        <w:tc>
          <w:tcPr>
            <w:tcW w:w="1796" w:type="dxa"/>
          </w:tcPr>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14:textFill>
                  <w14:solidFill>
                    <w14:schemeClr w14:val="tx1"/>
                  </w14:solidFill>
                </w14:textFill>
              </w:rPr>
              <w:t xml:space="preserve">EIG </w:t>
            </w:r>
            <w:r>
              <w:rPr>
                <w:rFonts w:hint="eastAsia" w:ascii="Times New Roman" w:hAnsi="Times New Roman"/>
                <w:color w:val="000000" w:themeColor="text1"/>
                <w:kern w:val="0"/>
                <w:sz w:val="24"/>
                <w:szCs w:val="24"/>
                <w14:textFill>
                  <w14:solidFill>
                    <w14:schemeClr w14:val="tx1"/>
                  </w14:solidFill>
                </w14:textFill>
              </w:rPr>
              <w:t>珍珠控股有限责任公司</w:t>
            </w:r>
          </w:p>
        </w:tc>
        <w:tc>
          <w:tcPr>
            <w:tcW w:w="5153" w:type="dxa"/>
          </w:tcPr>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14:textFill>
                  <w14:solidFill>
                    <w14:schemeClr w14:val="tx1"/>
                  </w14:solidFill>
                </w14:textFill>
              </w:rPr>
              <w:t xml:space="preserve">EIG </w:t>
            </w:r>
            <w:r>
              <w:rPr>
                <w:rFonts w:hint="eastAsia" w:ascii="Times New Roman" w:hAnsi="Times New Roman"/>
                <w:color w:val="000000" w:themeColor="text1"/>
                <w:kern w:val="0"/>
                <w:sz w:val="24"/>
                <w:szCs w:val="24"/>
                <w14:textFill>
                  <w14:solidFill>
                    <w14:schemeClr w14:val="tx1"/>
                  </w14:solidFill>
                </w14:textFill>
              </w:rPr>
              <w:t>珍珠由</w:t>
            </w:r>
            <w:r>
              <w:rPr>
                <w:rFonts w:ascii="Times New Roman" w:hAnsi="Times New Roman"/>
                <w:color w:val="000000" w:themeColor="text1"/>
                <w:kern w:val="0"/>
                <w:sz w:val="24"/>
                <w:szCs w:val="24"/>
                <w14:textFill>
                  <w14:solidFill>
                    <w14:schemeClr w14:val="tx1"/>
                  </w14:solidFill>
                </w14:textFill>
              </w:rPr>
              <w:t xml:space="preserve">EIG </w:t>
            </w:r>
            <w:r>
              <w:rPr>
                <w:rFonts w:hint="eastAsia" w:ascii="Times New Roman" w:hAnsi="Times New Roman"/>
                <w:color w:val="000000" w:themeColor="text1"/>
                <w:kern w:val="0"/>
                <w:sz w:val="24"/>
                <w:szCs w:val="24"/>
                <w14:textFill>
                  <w14:solidFill>
                    <w14:schemeClr w14:val="tx1"/>
                  </w14:solidFill>
                </w14:textFill>
              </w:rPr>
              <w:t>资产管理有限责任公司（“</w:t>
            </w:r>
            <w:r>
              <w:rPr>
                <w:rFonts w:ascii="Times New Roman" w:hAnsi="Times New Roman"/>
                <w:b/>
                <w:bCs/>
                <w:color w:val="000000" w:themeColor="text1"/>
                <w:kern w:val="0"/>
                <w:sz w:val="24"/>
                <w:szCs w:val="24"/>
                <w14:textFill>
                  <w14:solidFill>
                    <w14:schemeClr w14:val="tx1"/>
                  </w14:solidFill>
                </w14:textFill>
              </w:rPr>
              <w:t>EIG</w:t>
            </w:r>
            <w:r>
              <w:rPr>
                <w:rFonts w:hint="eastAsia" w:ascii="Times New Roman" w:hAnsi="Times New Roman"/>
                <w:color w:val="000000" w:themeColor="text1"/>
                <w:kern w:val="0"/>
                <w:sz w:val="24"/>
                <w:szCs w:val="24"/>
                <w14:textFill>
                  <w14:solidFill>
                    <w14:schemeClr w14:val="tx1"/>
                  </w14:solidFill>
                </w14:textFill>
              </w:rPr>
              <w:t>”）设立。</w:t>
            </w:r>
          </w:p>
          <w:p>
            <w:pPr>
              <w:snapToGrid w:val="0"/>
              <w:rPr>
                <w:rFonts w:ascii="Times New Roman" w:hAnsi="Times New Roman"/>
                <w:color w:val="000000" w:themeColor="text1"/>
                <w:kern w:val="0"/>
                <w:sz w:val="24"/>
                <w:szCs w:val="24"/>
                <w14:textFill>
                  <w14:solidFill>
                    <w14:schemeClr w14:val="tx1"/>
                  </w14:solidFill>
                </w14:textFill>
              </w:rPr>
            </w:pPr>
          </w:p>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14:textFill>
                  <w14:solidFill>
                    <w14:schemeClr w14:val="tx1"/>
                  </w14:solidFill>
                </w14:textFill>
              </w:rPr>
              <w:t>EIG</w:t>
            </w:r>
            <w:r>
              <w:rPr>
                <w:rFonts w:hint="eastAsia" w:ascii="Times New Roman" w:hAnsi="Times New Roman"/>
                <w:color w:val="000000" w:themeColor="text1"/>
                <w:kern w:val="0"/>
                <w:sz w:val="24"/>
                <w:szCs w:val="24"/>
                <w14:textFill>
                  <w14:solidFill>
                    <w14:schemeClr w14:val="tx1"/>
                  </w14:solidFill>
                </w14:textFill>
              </w:rPr>
              <w:t>成立于</w:t>
            </w:r>
            <w:r>
              <w:rPr>
                <w:rFonts w:ascii="Times New Roman" w:hAnsi="Times New Roman"/>
                <w:color w:val="000000" w:themeColor="text1"/>
                <w:kern w:val="0"/>
                <w:sz w:val="24"/>
                <w:szCs w:val="24"/>
                <w14:textFill>
                  <w14:solidFill>
                    <w14:schemeClr w14:val="tx1"/>
                  </w14:solidFill>
                </w14:textFill>
              </w:rPr>
              <w:t>1982</w:t>
            </w:r>
            <w:r>
              <w:rPr>
                <w:rFonts w:hint="eastAsia" w:ascii="Times New Roman" w:hAnsi="Times New Roman"/>
                <w:color w:val="000000" w:themeColor="text1"/>
                <w:kern w:val="0"/>
                <w:sz w:val="24"/>
                <w:szCs w:val="24"/>
                <w14:textFill>
                  <w14:solidFill>
                    <w14:schemeClr w14:val="tx1"/>
                  </w14:solidFill>
                </w14:textFill>
              </w:rPr>
              <w:t>年，总部位于华盛顿特区，是全球能源领域的机构投资者。它专门从事能源和能源相关基础设施的私人投资。</w:t>
            </w:r>
          </w:p>
          <w:p>
            <w:pPr>
              <w:snapToGrid w:val="0"/>
              <w:rPr>
                <w:rFonts w:ascii="Times New Roman" w:hAnsi="Times New Roman"/>
                <w:color w:val="000000" w:themeColor="text1"/>
                <w:kern w:val="0"/>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2" w:hRule="exact"/>
        </w:trPr>
        <w:tc>
          <w:tcPr>
            <w:tcW w:w="1809" w:type="dxa"/>
            <w:vMerge w:val="continue"/>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p>
        </w:tc>
        <w:tc>
          <w:tcPr>
            <w:tcW w:w="1796" w:type="dxa"/>
          </w:tcPr>
          <w:p>
            <w:pPr>
              <w:snapToGrid w:val="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沙特阿拉伯石油公司</w:t>
            </w:r>
          </w:p>
        </w:tc>
        <w:tc>
          <w:tcPr>
            <w:tcW w:w="5153" w:type="dxa"/>
          </w:tcPr>
          <w:p>
            <w:pPr>
              <w:snapToGrid w:val="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沙特阿美成立于</w:t>
            </w:r>
            <w:r>
              <w:rPr>
                <w:rFonts w:ascii="Times New Roman" w:hAnsi="Times New Roman"/>
                <w:color w:val="000000" w:themeColor="text1"/>
                <w:kern w:val="0"/>
                <w:sz w:val="24"/>
                <w:szCs w:val="24"/>
                <w14:textFill>
                  <w14:solidFill>
                    <w14:schemeClr w14:val="tx1"/>
                  </w14:solidFill>
                </w14:textFill>
              </w:rPr>
              <w:t>1933</w:t>
            </w:r>
            <w:r>
              <w:rPr>
                <w:rFonts w:hint="eastAsia" w:ascii="Times New Roman" w:hAnsi="Times New Roman"/>
                <w:color w:val="000000" w:themeColor="text1"/>
                <w:kern w:val="0"/>
                <w:sz w:val="24"/>
                <w:szCs w:val="24"/>
                <w14:textFill>
                  <w14:solidFill>
                    <w14:schemeClr w14:val="tx1"/>
                  </w14:solidFill>
                </w14:textFill>
              </w:rPr>
              <w:t>年，总部位于沙特阿拉伯。目前，沙特阿拉伯政府持有沙特阿美</w:t>
            </w:r>
            <w:r>
              <w:rPr>
                <w:rFonts w:ascii="Times New Roman" w:hAnsi="Times New Roman"/>
                <w:color w:val="000000" w:themeColor="text1"/>
                <w:kern w:val="0"/>
                <w:sz w:val="24"/>
                <w:szCs w:val="24"/>
                <w14:textFill>
                  <w14:solidFill>
                    <w14:schemeClr w14:val="tx1"/>
                  </w14:solidFill>
                </w14:textFill>
              </w:rPr>
              <w:t>98.2%</w:t>
            </w:r>
            <w:r>
              <w:rPr>
                <w:rFonts w:hint="eastAsia" w:ascii="Times New Roman" w:hAnsi="Times New Roman"/>
                <w:color w:val="000000" w:themeColor="text1"/>
                <w:kern w:val="0"/>
                <w:sz w:val="24"/>
                <w:szCs w:val="24"/>
                <w14:textFill>
                  <w14:solidFill>
                    <w14:schemeClr w14:val="tx1"/>
                  </w14:solidFill>
                </w14:textFill>
              </w:rPr>
              <w:t>的股份，其余</w:t>
            </w:r>
            <w:r>
              <w:rPr>
                <w:rFonts w:ascii="Times New Roman" w:hAnsi="Times New Roman"/>
                <w:color w:val="000000" w:themeColor="text1"/>
                <w:kern w:val="0"/>
                <w:sz w:val="24"/>
                <w:szCs w:val="24"/>
                <w14:textFill>
                  <w14:solidFill>
                    <w14:schemeClr w14:val="tx1"/>
                  </w14:solidFill>
                </w14:textFill>
              </w:rPr>
              <w:t>1.8%</w:t>
            </w:r>
            <w:r>
              <w:rPr>
                <w:rFonts w:hint="eastAsia" w:ascii="Times New Roman" w:hAnsi="Times New Roman"/>
                <w:color w:val="000000" w:themeColor="text1"/>
                <w:kern w:val="0"/>
                <w:sz w:val="24"/>
                <w:szCs w:val="24"/>
                <w14:textFill>
                  <w14:solidFill>
                    <w14:schemeClr w14:val="tx1"/>
                  </w14:solidFill>
                </w14:textFill>
              </w:rPr>
              <w:t>的阿美股份在沙特塔达武尔证券交易所上市，其中约</w:t>
            </w:r>
            <w:r>
              <w:rPr>
                <w:rFonts w:ascii="Times New Roman" w:hAnsi="Times New Roman"/>
                <w:color w:val="000000" w:themeColor="text1"/>
                <w:kern w:val="0"/>
                <w:sz w:val="24"/>
                <w:szCs w:val="24"/>
                <w14:textFill>
                  <w14:solidFill>
                    <w14:schemeClr w14:val="tx1"/>
                  </w14:solidFill>
                </w14:textFill>
              </w:rPr>
              <w:t>1.7%</w:t>
            </w:r>
            <w:r>
              <w:rPr>
                <w:rFonts w:hint="eastAsia" w:ascii="Times New Roman" w:hAnsi="Times New Roman"/>
                <w:color w:val="000000" w:themeColor="text1"/>
                <w:kern w:val="0"/>
                <w:sz w:val="24"/>
                <w:szCs w:val="24"/>
                <w14:textFill>
                  <w14:solidFill>
                    <w14:schemeClr w14:val="tx1"/>
                  </w14:solidFill>
                </w14:textFill>
              </w:rPr>
              <w:t>的股份由公众投资者持有，其余约</w:t>
            </w:r>
            <w:r>
              <w:rPr>
                <w:rFonts w:ascii="Times New Roman" w:hAnsi="Times New Roman"/>
                <w:color w:val="000000" w:themeColor="text1"/>
                <w:kern w:val="0"/>
                <w:sz w:val="24"/>
                <w:szCs w:val="24"/>
                <w14:textFill>
                  <w14:solidFill>
                    <w14:schemeClr w14:val="tx1"/>
                  </w14:solidFill>
                </w14:textFill>
              </w:rPr>
              <w:t>0.1%</w:t>
            </w:r>
            <w:r>
              <w:rPr>
                <w:rFonts w:hint="eastAsia" w:ascii="Times New Roman" w:hAnsi="Times New Roman"/>
                <w:color w:val="000000" w:themeColor="text1"/>
                <w:kern w:val="0"/>
                <w:sz w:val="24"/>
                <w:szCs w:val="24"/>
                <w14:textFill>
                  <w14:solidFill>
                    <w14:schemeClr w14:val="tx1"/>
                  </w14:solidFill>
                </w14:textFill>
              </w:rPr>
              <w:t>由沙特阿美作为库存股票持有。</w:t>
            </w:r>
          </w:p>
          <w:p>
            <w:pPr>
              <w:snapToGrid w:val="0"/>
              <w:rPr>
                <w:rFonts w:ascii="Times New Roman" w:hAnsi="Times New Roman"/>
                <w:color w:val="000000" w:themeColor="text1"/>
                <w:kern w:val="0"/>
                <w:sz w:val="24"/>
                <w:szCs w:val="24"/>
                <w14:textFill>
                  <w14:solidFill>
                    <w14:schemeClr w14:val="tx1"/>
                  </w14:solidFill>
                </w14:textFill>
              </w:rPr>
            </w:pPr>
          </w:p>
          <w:p>
            <w:pPr>
              <w:snapToGrid w:val="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沙特阿美是一家从事原油勘探、生产和销售的原油和天然气公司，在更有限的范围内，还从事精炼油和石化产品的生产和销售。沙特阿美在中国</w:t>
            </w:r>
          </w:p>
          <w:p>
            <w:pPr>
              <w:snapToGrid w:val="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制造和销售一系列精炼和石化产品。沙特阿美在中国的销售可以通过海外和中国的子公司，也可以通过位于中国的销售办事处进行。</w:t>
            </w:r>
          </w:p>
          <w:p>
            <w:pPr>
              <w:snapToGrid w:val="0"/>
              <w:rPr>
                <w:rFonts w:ascii="Times New Roman" w:hAnsi="Times New Roman"/>
                <w:color w:val="000000" w:themeColor="text1"/>
                <w:kern w:val="0"/>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r>
              <w:rPr>
                <w:rFonts w:ascii="Times New Roman" w:hAnsi="Times New Roman"/>
                <w:b/>
                <w:color w:val="000000" w:themeColor="text1"/>
                <w:kern w:val="0"/>
                <w:sz w:val="24"/>
                <w:szCs w:val="24"/>
                <w14:textFill>
                  <w14:solidFill>
                    <w14:schemeClr w14:val="tx1"/>
                  </w14:solidFill>
                </w14:textFill>
              </w:rPr>
              <w:t>简易案件理由（可以单选，也可以多选）</w:t>
            </w:r>
          </w:p>
        </w:tc>
        <w:tc>
          <w:tcPr>
            <w:tcW w:w="6949" w:type="dxa"/>
            <w:gridSpan w:val="2"/>
          </w:tcPr>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lang w:val="en-GB"/>
                <w14:textFill>
                  <w14:solidFill>
                    <w14:schemeClr w14:val="tx1"/>
                  </w14:solidFill>
                </w14:textFill>
              </w:rPr>
              <w:sym w:font="Wingdings" w:char="F0A8"/>
            </w:r>
            <w:r>
              <w:rPr>
                <w:rFonts w:ascii="Times New Roman" w:hAnsi="Times New Roman"/>
                <w:color w:val="000000" w:themeColor="text1"/>
                <w:sz w:val="24"/>
                <w:szCs w:val="24"/>
                <w14:textFill>
                  <w14:solidFill>
                    <w14:schemeClr w14:val="tx1"/>
                  </w14:solidFill>
                </w14:textFill>
              </w:rPr>
              <w:t xml:space="preserve"> </w:t>
            </w:r>
            <w:r>
              <w:rPr>
                <w:rFonts w:ascii="Times New Roman" w:hAnsi="Times New Roman"/>
                <w:color w:val="000000" w:themeColor="text1"/>
                <w:kern w:val="0"/>
                <w:sz w:val="24"/>
                <w:szCs w:val="24"/>
                <w14:textFill>
                  <w14:solidFill>
                    <w14:schemeClr w14:val="tx1"/>
                  </w14:solidFill>
                </w14:textFill>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p>
        </w:tc>
        <w:tc>
          <w:tcPr>
            <w:tcW w:w="6949" w:type="dxa"/>
            <w:gridSpan w:val="2"/>
          </w:tcPr>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lang w:val="en-GB"/>
                <w14:textFill>
                  <w14:solidFill>
                    <w14:schemeClr w14:val="tx1"/>
                  </w14:solidFill>
                </w14:textFill>
              </w:rPr>
              <w:sym w:font="Wingdings" w:char="F0A8"/>
            </w:r>
            <w:r>
              <w:rPr>
                <w:rFonts w:ascii="Times New Roman" w:hAnsi="Times New Roman"/>
                <w:color w:val="000000" w:themeColor="text1"/>
                <w:sz w:val="24"/>
                <w:szCs w:val="24"/>
                <w14:textFill>
                  <w14:solidFill>
                    <w14:schemeClr w14:val="tx1"/>
                  </w14:solidFill>
                </w14:textFill>
              </w:rPr>
              <w:t xml:space="preserve"> </w:t>
            </w:r>
            <w:r>
              <w:rPr>
                <w:rFonts w:ascii="Times New Roman" w:hAnsi="Times New Roman"/>
                <w:color w:val="000000" w:themeColor="text1"/>
                <w:kern w:val="0"/>
                <w:sz w:val="24"/>
                <w:szCs w:val="24"/>
                <w14:textFill>
                  <w14:solidFill>
                    <w14:schemeClr w14:val="tx1"/>
                  </w14:solidFill>
                </w14:textFill>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p>
        </w:tc>
        <w:tc>
          <w:tcPr>
            <w:tcW w:w="6949" w:type="dxa"/>
            <w:gridSpan w:val="2"/>
          </w:tcPr>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lang w:val="en-GB"/>
                <w14:textFill>
                  <w14:solidFill>
                    <w14:schemeClr w14:val="tx1"/>
                  </w14:solidFill>
                </w14:textFill>
              </w:rPr>
              <w:sym w:font="Wingdings" w:char="F0A8"/>
            </w:r>
            <w:r>
              <w:rPr>
                <w:rFonts w:ascii="Times New Roman" w:hAnsi="Times New Roman"/>
                <w:color w:val="000000" w:themeColor="text1"/>
                <w:sz w:val="24"/>
                <w:szCs w:val="24"/>
                <w:lang w:val="en-GB"/>
                <w14:textFill>
                  <w14:solidFill>
                    <w14:schemeClr w14:val="tx1"/>
                  </w14:solidFill>
                </w14:textFill>
              </w:rPr>
              <w:t xml:space="preserve"> </w:t>
            </w:r>
            <w:r>
              <w:rPr>
                <w:rFonts w:ascii="Times New Roman" w:hAnsi="Times New Roman"/>
                <w:color w:val="000000" w:themeColor="text1"/>
                <w:kern w:val="0"/>
                <w:sz w:val="24"/>
                <w:szCs w:val="24"/>
                <w14:textFill>
                  <w14:solidFill>
                    <w14:schemeClr w14:val="tx1"/>
                  </w14:solidFill>
                </w14:textFill>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809" w:type="dxa"/>
            <w:vMerge w:val="continue"/>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p>
        </w:tc>
        <w:tc>
          <w:tcPr>
            <w:tcW w:w="6949" w:type="dxa"/>
            <w:gridSpan w:val="2"/>
          </w:tcPr>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lang w:val="en-GB"/>
                <w14:textFill>
                  <w14:solidFill>
                    <w14:schemeClr w14:val="tx1"/>
                  </w14:solidFill>
                </w14:textFill>
              </w:rPr>
              <w:sym w:font="Wingdings" w:char="F0A8"/>
            </w:r>
            <w:r>
              <w:rPr>
                <w:rFonts w:ascii="Times New Roman" w:hAnsi="Times New Roman"/>
                <w:color w:val="000000" w:themeColor="text1"/>
                <w:sz w:val="24"/>
                <w:szCs w:val="24"/>
                <w:lang w:val="en-GB"/>
                <w14:textFill>
                  <w14:solidFill>
                    <w14:schemeClr w14:val="tx1"/>
                  </w14:solidFill>
                </w14:textFill>
              </w:rPr>
              <w:t xml:space="preserve"> </w:t>
            </w:r>
            <w:r>
              <w:rPr>
                <w:rFonts w:ascii="Times New Roman" w:hAnsi="Times New Roman"/>
                <w:color w:val="000000" w:themeColor="text1"/>
                <w:kern w:val="0"/>
                <w:sz w:val="24"/>
                <w:szCs w:val="24"/>
                <w14:textFill>
                  <w14:solidFill>
                    <w14:schemeClr w14:val="tx1"/>
                  </w14:solidFill>
                </w14:textFill>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p>
        </w:tc>
        <w:tc>
          <w:tcPr>
            <w:tcW w:w="6949" w:type="dxa"/>
            <w:gridSpan w:val="2"/>
          </w:tcPr>
          <w:p>
            <w:pPr>
              <w:snapToGrid w:val="0"/>
              <w:rPr>
                <w:rFonts w:ascii="Times New Roman" w:hAnsi="Times New Roman"/>
                <w:color w:val="000000" w:themeColor="text1"/>
                <w:kern w:val="0"/>
                <w:sz w:val="24"/>
                <w:szCs w:val="24"/>
                <w14:textFill>
                  <w14:solidFill>
                    <w14:schemeClr w14:val="tx1"/>
                  </w14:solidFill>
                </w14:textFill>
              </w:rPr>
            </w:pPr>
            <w:bookmarkStart w:id="0" w:name="OLE_LINK13"/>
            <w:bookmarkStart w:id="1" w:name="OLE_LINK14"/>
            <w:r>
              <w:rPr>
                <w:rFonts w:ascii="Times New Roman" w:hAnsi="Times New Roman"/>
                <w:color w:val="000000" w:themeColor="text1"/>
                <w:sz w:val="24"/>
                <w:szCs w:val="24"/>
                <w:lang w:val="en-GB"/>
                <w14:textFill>
                  <w14:solidFill>
                    <w14:schemeClr w14:val="tx1"/>
                  </w14:solidFill>
                </w14:textFill>
              </w:rPr>
              <w:sym w:font="Wingdings" w:char="F0FE"/>
            </w:r>
            <w:bookmarkEnd w:id="0"/>
            <w:bookmarkEnd w:id="1"/>
            <w:r>
              <w:rPr>
                <w:rFonts w:ascii="Times New Roman" w:hAnsi="Times New Roman"/>
                <w:color w:val="000000" w:themeColor="text1"/>
                <w:sz w:val="24"/>
                <w:szCs w:val="24"/>
                <w:lang w:val="en-GB"/>
                <w14:textFill>
                  <w14:solidFill>
                    <w14:schemeClr w14:val="tx1"/>
                  </w14:solidFill>
                </w14:textFill>
              </w:rPr>
              <w:t xml:space="preserve"> </w:t>
            </w:r>
            <w:r>
              <w:rPr>
                <w:rFonts w:ascii="Times New Roman" w:hAnsi="Times New Roman"/>
                <w:color w:val="000000" w:themeColor="text1"/>
                <w:kern w:val="0"/>
                <w:sz w:val="24"/>
                <w:szCs w:val="24"/>
                <w14:textFill>
                  <w14:solidFill>
                    <w14:schemeClr w14:val="tx1"/>
                  </w14:solidFill>
                </w14:textFill>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p>
        </w:tc>
        <w:tc>
          <w:tcPr>
            <w:tcW w:w="6949" w:type="dxa"/>
            <w:gridSpan w:val="2"/>
          </w:tcPr>
          <w:p>
            <w:pPr>
              <w:snapToGrid w:val="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lang w:val="en-GB"/>
                <w14:textFill>
                  <w14:solidFill>
                    <w14:schemeClr w14:val="tx1"/>
                  </w14:solidFill>
                </w14:textFill>
              </w:rPr>
              <w:sym w:font="Wingdings" w:char="F0A8"/>
            </w:r>
            <w:r>
              <w:rPr>
                <w:rFonts w:ascii="Times New Roman" w:hAnsi="Times New Roman"/>
                <w:color w:val="000000" w:themeColor="text1"/>
                <w:sz w:val="24"/>
                <w:szCs w:val="24"/>
                <w:lang w:val="en-GB"/>
                <w14:textFill>
                  <w14:solidFill>
                    <w14:schemeClr w14:val="tx1"/>
                  </w14:solidFill>
                </w14:textFill>
              </w:rPr>
              <w:t xml:space="preserve"> </w:t>
            </w:r>
            <w:r>
              <w:rPr>
                <w:rFonts w:ascii="Times New Roman" w:hAnsi="Times New Roman"/>
                <w:color w:val="000000" w:themeColor="text1"/>
                <w:kern w:val="0"/>
                <w:sz w:val="24"/>
                <w:szCs w:val="24"/>
                <w14:textFill>
                  <w14:solidFill>
                    <w14:schemeClr w14:val="tx1"/>
                  </w14:solidFill>
                </w14:textFill>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0" w:hRule="atLeast"/>
        </w:trPr>
        <w:tc>
          <w:tcPr>
            <w:tcW w:w="1809" w:type="dxa"/>
            <w:shd w:val="clear" w:color="auto" w:fill="D9D9D9"/>
            <w:vAlign w:val="center"/>
          </w:tcPr>
          <w:p>
            <w:pPr>
              <w:snapToGrid w:val="0"/>
              <w:jc w:val="center"/>
              <w:rPr>
                <w:rFonts w:ascii="Times New Roman" w:hAnsi="Times New Roman"/>
                <w:b/>
                <w:color w:val="000000" w:themeColor="text1"/>
                <w:kern w:val="0"/>
                <w:sz w:val="24"/>
                <w:szCs w:val="24"/>
                <w14:textFill>
                  <w14:solidFill>
                    <w14:schemeClr w14:val="tx1"/>
                  </w14:solidFill>
                </w14:textFill>
              </w:rPr>
            </w:pPr>
            <w:r>
              <w:rPr>
                <w:rFonts w:ascii="Times New Roman" w:hAnsi="Times New Roman"/>
                <w:b/>
                <w:color w:val="000000" w:themeColor="text1"/>
                <w:kern w:val="0"/>
                <w:sz w:val="24"/>
                <w:szCs w:val="24"/>
                <w14:textFill>
                  <w14:solidFill>
                    <w14:schemeClr w14:val="tx1"/>
                  </w14:solidFill>
                </w14:textFill>
              </w:rPr>
              <w:t>备注</w:t>
            </w:r>
          </w:p>
        </w:tc>
        <w:tc>
          <w:tcPr>
            <w:tcW w:w="6949" w:type="dxa"/>
            <w:gridSpan w:val="2"/>
          </w:tcPr>
          <w:p>
            <w:pPr>
              <w:spacing w:line="500" w:lineRule="exact"/>
              <w:rPr>
                <w:rFonts w:ascii="Times New Roman" w:hAnsi="Times New Roman"/>
                <w:b/>
                <w:bCs/>
                <w:color w:val="000000" w:themeColor="text1"/>
                <w:sz w:val="24"/>
                <w:szCs w:val="24"/>
                <w14:textFill>
                  <w14:solidFill>
                    <w14:schemeClr w14:val="tx1"/>
                  </w14:solidFill>
                </w14:textFill>
              </w:rPr>
            </w:pPr>
          </w:p>
          <w:p>
            <w:pPr>
              <w:spacing w:line="500" w:lineRule="exact"/>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不适用</w:t>
            </w:r>
          </w:p>
          <w:p>
            <w:pPr>
              <w:widowControl/>
              <w:snapToGrid w:val="0"/>
              <w:spacing w:after="156" w:afterLines="50"/>
              <w:rPr>
                <w:rFonts w:ascii="Times New Roman" w:hAnsi="Times New Roman"/>
                <w:color w:val="000000" w:themeColor="text1"/>
                <w:sz w:val="24"/>
                <w:szCs w:val="24"/>
                <w14:textFill>
                  <w14:solidFill>
                    <w14:schemeClr w14:val="tx1"/>
                  </w14:solidFill>
                </w14:textFill>
              </w:rPr>
            </w:pPr>
          </w:p>
        </w:tc>
      </w:tr>
    </w:tbl>
    <w:p>
      <w:pPr>
        <w:spacing w:line="360" w:lineRule="auto"/>
        <w:rPr>
          <w:rFonts w:ascii="Times New Roman" w:hAnsi="Times New Roman"/>
          <w:color w:val="000000" w:themeColor="text1"/>
          <w:sz w:val="24"/>
          <w:szCs w:val="24"/>
          <w14:textFill>
            <w14:solidFill>
              <w14:schemeClr w14:val="tx1"/>
            </w14:solidFill>
          </w14:textFill>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275023100"/>
      <w:docPartObj>
        <w:docPartGallery w:val="AutoText"/>
      </w:docPartObj>
    </w:sdtPr>
    <w:sdtEndPr>
      <w:rPr>
        <w:rStyle w:val="8"/>
        <w:rFonts w:ascii="仿宋" w:hAnsi="仿宋" w:eastAsia="仿宋"/>
      </w:rPr>
    </w:sdtEndPr>
    <w:sdtContent>
      <w:p>
        <w:pPr>
          <w:pStyle w:val="3"/>
          <w:framePr w:wrap="auto" w:vAnchor="text" w:hAnchor="margin" w:xAlign="center" w:y="1"/>
          <w:rPr>
            <w:rStyle w:val="8"/>
            <w:rFonts w:ascii="仿宋" w:hAnsi="仿宋" w:eastAsia="仿宋"/>
          </w:rPr>
        </w:pPr>
        <w:r>
          <w:rPr>
            <w:rStyle w:val="8"/>
            <w:rFonts w:ascii="仿宋" w:hAnsi="仿宋" w:eastAsia="仿宋"/>
          </w:rPr>
          <w:fldChar w:fldCharType="begin"/>
        </w:r>
        <w:r>
          <w:rPr>
            <w:rStyle w:val="8"/>
            <w:rFonts w:ascii="仿宋" w:hAnsi="仿宋" w:eastAsia="仿宋"/>
          </w:rPr>
          <w:instrText xml:space="preserve"> PAGE </w:instrText>
        </w:r>
        <w:r>
          <w:rPr>
            <w:rStyle w:val="8"/>
            <w:rFonts w:ascii="仿宋" w:hAnsi="仿宋" w:eastAsia="仿宋"/>
          </w:rPr>
          <w:fldChar w:fldCharType="separate"/>
        </w:r>
        <w:r>
          <w:rPr>
            <w:rStyle w:val="8"/>
            <w:rFonts w:ascii="仿宋" w:hAnsi="仿宋" w:eastAsia="仿宋"/>
          </w:rPr>
          <w:t>1</w:t>
        </w:r>
        <w:r>
          <w:rPr>
            <w:rStyle w:val="8"/>
            <w:rFonts w:ascii="仿宋" w:hAnsi="仿宋" w:eastAsia="仿宋"/>
          </w:rPr>
          <w:fldChar w:fldCharType="end"/>
        </w:r>
      </w:p>
    </w:sdtContent>
  </w:sdt>
  <w:p>
    <w:pPr>
      <w:pStyle w:val="3"/>
      <w:rPr>
        <w:rFonts w:ascii="Times New Roman" w:hAnsi="Times New Roman"/>
      </w:rPr>
    </w:pP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036383314"/>
      <w:docPartObj>
        <w:docPartGallery w:val="AutoText"/>
      </w:docPartObj>
    </w:sdtPr>
    <w:sdtEndPr>
      <w:rPr>
        <w:rStyle w:val="8"/>
      </w:rPr>
    </w:sdtEndPr>
    <w:sdtContent>
      <w:p>
        <w:pPr>
          <w:pStyle w:val="3"/>
          <w:framePr w:wrap="auto" w:vAnchor="text" w:hAnchor="margin" w:xAlign="center" w:y="1"/>
          <w:rPr>
            <w:rStyle w:val="8"/>
          </w:rPr>
        </w:pPr>
        <w:r>
          <w:rPr>
            <w:rStyle w:val="8"/>
          </w:rPr>
          <w:fldChar w:fldCharType="begin"/>
        </w:r>
        <w:r>
          <w:rPr>
            <w:rStyle w:val="8"/>
          </w:rPr>
          <w:instrText xml:space="preserve"> PAGE </w:instrText>
        </w:r>
        <w:r>
          <w:rPr>
            <w:rStyle w:val="8"/>
          </w:rPr>
          <w:fldChar w:fldCharType="end"/>
        </w:r>
      </w:p>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08A2"/>
    <w:rsid w:val="00007E12"/>
    <w:rsid w:val="00015F7E"/>
    <w:rsid w:val="00023448"/>
    <w:rsid w:val="00037065"/>
    <w:rsid w:val="00080003"/>
    <w:rsid w:val="000805A7"/>
    <w:rsid w:val="0008285B"/>
    <w:rsid w:val="000A1753"/>
    <w:rsid w:val="000B1EFE"/>
    <w:rsid w:val="000B3762"/>
    <w:rsid w:val="000B3AF7"/>
    <w:rsid w:val="000C4477"/>
    <w:rsid w:val="000D7EBA"/>
    <w:rsid w:val="000F1B00"/>
    <w:rsid w:val="001074DB"/>
    <w:rsid w:val="00113BAE"/>
    <w:rsid w:val="001164CD"/>
    <w:rsid w:val="001243D9"/>
    <w:rsid w:val="00155717"/>
    <w:rsid w:val="00160E61"/>
    <w:rsid w:val="00174FB0"/>
    <w:rsid w:val="001837A3"/>
    <w:rsid w:val="00187D5C"/>
    <w:rsid w:val="00193BC9"/>
    <w:rsid w:val="001D6662"/>
    <w:rsid w:val="001D7BA1"/>
    <w:rsid w:val="001E7C8F"/>
    <w:rsid w:val="0021315C"/>
    <w:rsid w:val="00221DC0"/>
    <w:rsid w:val="00243BAD"/>
    <w:rsid w:val="00252EF8"/>
    <w:rsid w:val="00262C69"/>
    <w:rsid w:val="002665EA"/>
    <w:rsid w:val="002756C0"/>
    <w:rsid w:val="00282AB8"/>
    <w:rsid w:val="002840F8"/>
    <w:rsid w:val="0028527F"/>
    <w:rsid w:val="002A4145"/>
    <w:rsid w:val="002B19C8"/>
    <w:rsid w:val="002B56DD"/>
    <w:rsid w:val="00303F1A"/>
    <w:rsid w:val="00306520"/>
    <w:rsid w:val="00310D7A"/>
    <w:rsid w:val="00327C1B"/>
    <w:rsid w:val="00330E53"/>
    <w:rsid w:val="00376EF3"/>
    <w:rsid w:val="003B759C"/>
    <w:rsid w:val="003C0AEB"/>
    <w:rsid w:val="003C575D"/>
    <w:rsid w:val="003D13C3"/>
    <w:rsid w:val="003D33C2"/>
    <w:rsid w:val="003D7240"/>
    <w:rsid w:val="003E7483"/>
    <w:rsid w:val="003F0F68"/>
    <w:rsid w:val="00403238"/>
    <w:rsid w:val="004440BF"/>
    <w:rsid w:val="00460715"/>
    <w:rsid w:val="004A74EA"/>
    <w:rsid w:val="004C2A4E"/>
    <w:rsid w:val="004F7688"/>
    <w:rsid w:val="00501C72"/>
    <w:rsid w:val="00507846"/>
    <w:rsid w:val="00527F83"/>
    <w:rsid w:val="00546F6E"/>
    <w:rsid w:val="00574E95"/>
    <w:rsid w:val="005A28D4"/>
    <w:rsid w:val="005C19BE"/>
    <w:rsid w:val="005C480C"/>
    <w:rsid w:val="005E03E0"/>
    <w:rsid w:val="005F3D2C"/>
    <w:rsid w:val="005F6989"/>
    <w:rsid w:val="00607053"/>
    <w:rsid w:val="00630E72"/>
    <w:rsid w:val="006344D5"/>
    <w:rsid w:val="006467D8"/>
    <w:rsid w:val="00651F9C"/>
    <w:rsid w:val="00652DFD"/>
    <w:rsid w:val="006613CF"/>
    <w:rsid w:val="00661A6A"/>
    <w:rsid w:val="00664EE8"/>
    <w:rsid w:val="00684FEE"/>
    <w:rsid w:val="006A531B"/>
    <w:rsid w:val="006C334D"/>
    <w:rsid w:val="006D0C1D"/>
    <w:rsid w:val="006E0315"/>
    <w:rsid w:val="006E090A"/>
    <w:rsid w:val="006E7350"/>
    <w:rsid w:val="006F7693"/>
    <w:rsid w:val="00710140"/>
    <w:rsid w:val="00750E69"/>
    <w:rsid w:val="007634A9"/>
    <w:rsid w:val="00770406"/>
    <w:rsid w:val="00781530"/>
    <w:rsid w:val="0079392B"/>
    <w:rsid w:val="00795B68"/>
    <w:rsid w:val="007A56E1"/>
    <w:rsid w:val="007B0601"/>
    <w:rsid w:val="007B1376"/>
    <w:rsid w:val="007D0108"/>
    <w:rsid w:val="007E3AA2"/>
    <w:rsid w:val="007F2275"/>
    <w:rsid w:val="00826D44"/>
    <w:rsid w:val="00863DD9"/>
    <w:rsid w:val="00897E60"/>
    <w:rsid w:val="008E1316"/>
    <w:rsid w:val="00906700"/>
    <w:rsid w:val="00913CC5"/>
    <w:rsid w:val="00914C14"/>
    <w:rsid w:val="00915F0F"/>
    <w:rsid w:val="00940FA2"/>
    <w:rsid w:val="009532DF"/>
    <w:rsid w:val="00970077"/>
    <w:rsid w:val="0097361C"/>
    <w:rsid w:val="009775EB"/>
    <w:rsid w:val="00994C75"/>
    <w:rsid w:val="00997019"/>
    <w:rsid w:val="009A5029"/>
    <w:rsid w:val="009B2582"/>
    <w:rsid w:val="009D2953"/>
    <w:rsid w:val="009D38D5"/>
    <w:rsid w:val="00A01E75"/>
    <w:rsid w:val="00A209CF"/>
    <w:rsid w:val="00A232E7"/>
    <w:rsid w:val="00A3629B"/>
    <w:rsid w:val="00A45A34"/>
    <w:rsid w:val="00A53F26"/>
    <w:rsid w:val="00A62FD3"/>
    <w:rsid w:val="00A859F5"/>
    <w:rsid w:val="00AA0CC5"/>
    <w:rsid w:val="00AA6EEB"/>
    <w:rsid w:val="00AD1134"/>
    <w:rsid w:val="00AD4346"/>
    <w:rsid w:val="00AE66F4"/>
    <w:rsid w:val="00AE7500"/>
    <w:rsid w:val="00AF0C6C"/>
    <w:rsid w:val="00AF347F"/>
    <w:rsid w:val="00AF73B9"/>
    <w:rsid w:val="00B05F2C"/>
    <w:rsid w:val="00B0718F"/>
    <w:rsid w:val="00B16AB0"/>
    <w:rsid w:val="00B16AFE"/>
    <w:rsid w:val="00B318AA"/>
    <w:rsid w:val="00B33424"/>
    <w:rsid w:val="00B33492"/>
    <w:rsid w:val="00B34FA8"/>
    <w:rsid w:val="00B40C02"/>
    <w:rsid w:val="00B42D28"/>
    <w:rsid w:val="00B65DD5"/>
    <w:rsid w:val="00B66382"/>
    <w:rsid w:val="00B80621"/>
    <w:rsid w:val="00BA4781"/>
    <w:rsid w:val="00BA4F4C"/>
    <w:rsid w:val="00BD0BAC"/>
    <w:rsid w:val="00BD10B6"/>
    <w:rsid w:val="00BF0375"/>
    <w:rsid w:val="00BF04EE"/>
    <w:rsid w:val="00C012A8"/>
    <w:rsid w:val="00C02B30"/>
    <w:rsid w:val="00C07076"/>
    <w:rsid w:val="00C22854"/>
    <w:rsid w:val="00C34349"/>
    <w:rsid w:val="00C35C65"/>
    <w:rsid w:val="00C37318"/>
    <w:rsid w:val="00C6435F"/>
    <w:rsid w:val="00C7145B"/>
    <w:rsid w:val="00C7469A"/>
    <w:rsid w:val="00C84AC2"/>
    <w:rsid w:val="00C8621B"/>
    <w:rsid w:val="00CA2702"/>
    <w:rsid w:val="00CB00DF"/>
    <w:rsid w:val="00CB417F"/>
    <w:rsid w:val="00CB562C"/>
    <w:rsid w:val="00CD001E"/>
    <w:rsid w:val="00CD267A"/>
    <w:rsid w:val="00D12E41"/>
    <w:rsid w:val="00D36758"/>
    <w:rsid w:val="00D73C72"/>
    <w:rsid w:val="00D81806"/>
    <w:rsid w:val="00D90D2F"/>
    <w:rsid w:val="00DA04B8"/>
    <w:rsid w:val="00DB5728"/>
    <w:rsid w:val="00E0592B"/>
    <w:rsid w:val="00E152D6"/>
    <w:rsid w:val="00E216D4"/>
    <w:rsid w:val="00E31738"/>
    <w:rsid w:val="00E4031B"/>
    <w:rsid w:val="00E86786"/>
    <w:rsid w:val="00E9767B"/>
    <w:rsid w:val="00EC09CD"/>
    <w:rsid w:val="00ED18BB"/>
    <w:rsid w:val="00ED2F80"/>
    <w:rsid w:val="00ED6CCB"/>
    <w:rsid w:val="00EE0209"/>
    <w:rsid w:val="00EE2D3F"/>
    <w:rsid w:val="00EE396D"/>
    <w:rsid w:val="00EF6893"/>
    <w:rsid w:val="00F1624E"/>
    <w:rsid w:val="00F32F8A"/>
    <w:rsid w:val="00F42A51"/>
    <w:rsid w:val="00F810AA"/>
    <w:rsid w:val="00FB43EC"/>
    <w:rsid w:val="00FB6B40"/>
    <w:rsid w:val="00FC39F1"/>
    <w:rsid w:val="4D090F7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semiHidden/>
    <w:unhideWhenUsed/>
    <w:uiPriority w:val="99"/>
  </w:style>
  <w:style w:type="character" w:customStyle="1" w:styleId="9">
    <w:name w:val="页眉 字符"/>
    <w:basedOn w:val="7"/>
    <w:link w:val="4"/>
    <w:uiPriority w:val="99"/>
    <w:rPr>
      <w:rFonts w:ascii="Calibri" w:hAnsi="Calibri" w:eastAsia="宋体" w:cs="Times New Roman"/>
      <w:sz w:val="18"/>
      <w:szCs w:val="18"/>
    </w:rPr>
  </w:style>
  <w:style w:type="character" w:customStyle="1" w:styleId="10">
    <w:name w:val="页脚 字符"/>
    <w:basedOn w:val="7"/>
    <w:link w:val="3"/>
    <w:uiPriority w:val="99"/>
    <w:rPr>
      <w:rFonts w:ascii="Calibri" w:hAnsi="Calibri" w:eastAsia="宋体" w:cs="Times New Roman"/>
      <w:sz w:val="18"/>
      <w:szCs w:val="18"/>
    </w:rPr>
  </w:style>
  <w:style w:type="character" w:customStyle="1" w:styleId="11">
    <w:name w:val="批注框文本 字符"/>
    <w:basedOn w:val="7"/>
    <w:link w:val="2"/>
    <w:semiHidden/>
    <w:uiPriority w:val="99"/>
    <w:rPr>
      <w:rFonts w:ascii="Calibri" w:hAnsi="Calibri" w:eastAsia="宋体" w:cs="Times New Roman"/>
      <w:sz w:val="18"/>
      <w:szCs w:val="18"/>
    </w:rPr>
  </w:style>
  <w:style w:type="paragraph" w:styleId="12">
    <w:name w:val="List Paragraph"/>
    <w:basedOn w:val="1"/>
    <w:qFormat/>
    <w:uiPriority w:val="34"/>
    <w:pPr>
      <w:ind w:firstLine="420" w:firstLineChars="200"/>
    </w:pPr>
    <w:rPr>
      <w:rFonts w:ascii="Times New Roman" w:hAnsi="Times New Roman" w:eastAsiaTheme="minorEastAsi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143</Words>
  <Characters>821</Characters>
  <Lines>6</Lines>
  <Paragraphs>1</Paragraphs>
  <TotalTime>1</TotalTime>
  <ScaleCrop>false</ScaleCrop>
  <LinksUpToDate>false</LinksUpToDate>
  <CharactersWithSpaces>963</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2021-05-07T03:38:00Z</dcterms:created>
  <dc:creator>陈媚</dc:creator>
  <cp:lastModifiedBy>然</cp:lastModifiedBy>
  <dcterms:modified xsi:type="dcterms:W3CDTF">2021-05-08T03:15:08Z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1F642DE569D34F5AA31E87BFA042B872</vt:lpwstr>
  </property>
</Properties>
</file>