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D86937" w:rsidRDefault="00CB00DF" w:rsidP="00CB00DF">
      <w:pPr>
        <w:spacing w:line="440" w:lineRule="exact"/>
        <w:jc w:val="center"/>
        <w:rPr>
          <w:rFonts w:ascii="Times New Roman" w:hAnsi="Times New Roman"/>
          <w:b/>
          <w:sz w:val="30"/>
          <w:szCs w:val="30"/>
        </w:rPr>
      </w:pPr>
      <w:r w:rsidRPr="00D86937">
        <w:rPr>
          <w:rFonts w:ascii="Times New Roman" w:hAnsi="Times New Roman"/>
          <w:b/>
          <w:sz w:val="30"/>
          <w:szCs w:val="30"/>
        </w:rPr>
        <w:t>经营者集中简易案件公示表</w:t>
      </w:r>
    </w:p>
    <w:p w:rsidR="00CB00DF" w:rsidRPr="00704CA2" w:rsidRDefault="00CB00DF" w:rsidP="00CB00DF">
      <w:pPr>
        <w:spacing w:line="440" w:lineRule="exact"/>
        <w:rPr>
          <w:rFonts w:ascii="Times New Roman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704CA2" w:rsidTr="00CB00DF">
        <w:tc>
          <w:tcPr>
            <w:tcW w:w="1809" w:type="dxa"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704CA2" w:rsidRDefault="003D4D26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3D4D2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丰田金融服务公司收购三井物产汽车金融哥伦比亚有限公司股份案（“</w:t>
            </w:r>
            <w:r w:rsidRPr="003D4D26">
              <w:rPr>
                <w:rFonts w:ascii="Times New Roman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Pr="003D4D26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</w:tr>
      <w:tr w:rsidR="00CB00DF" w:rsidRPr="00704CA2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Pr="00D86937" w:rsidRDefault="003D4D26" w:rsidP="00D86937">
            <w:pPr>
              <w:spacing w:line="360" w:lineRule="auto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三井物产汽车金融哥伦比亚有限公司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D86937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780D6D"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现由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三井物产株式会社（“</w:t>
            </w:r>
            <w:r w:rsidRPr="00D86937">
              <w:rPr>
                <w:rFonts w:ascii="Times New Roman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三井物产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”）全资</w:t>
            </w:r>
            <w:r w:rsidR="00780D6D"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所有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bookmarkStart w:id="0" w:name="_GoBack"/>
            <w:bookmarkEnd w:id="0"/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仅在哥伦比亚提供汽车消费信贷服务。本交易涉</w:t>
            </w:r>
            <w:r w:rsidRPr="00D86937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及</w:t>
            </w:r>
            <w:r w:rsidRPr="00D86937">
              <w:rPr>
                <w:rFonts w:ascii="Times New Roman" w:hAnsi="Times New Roman"/>
                <w:sz w:val="24"/>
                <w:szCs w:val="24"/>
              </w:rPr>
              <w:t>丰田金融服务公司（</w:t>
            </w:r>
            <w:r w:rsidRPr="00D86937">
              <w:rPr>
                <w:rFonts w:ascii="Times New Roman" w:hAnsi="Times New Roman"/>
                <w:sz w:val="24"/>
                <w:szCs w:val="24"/>
              </w:rPr>
              <w:t>“</w:t>
            </w:r>
            <w:r w:rsidRPr="00D86937">
              <w:rPr>
                <w:rFonts w:ascii="Times New Roman" w:hAnsi="Times New Roman"/>
                <w:b/>
                <w:bCs/>
                <w:sz w:val="24"/>
                <w:szCs w:val="24"/>
              </w:rPr>
              <w:t>丰田金融</w:t>
            </w:r>
            <w:r w:rsidRPr="00D86937">
              <w:rPr>
                <w:rFonts w:ascii="Times New Roman" w:hAnsi="Times New Roman"/>
                <w:sz w:val="24"/>
                <w:szCs w:val="24"/>
              </w:rPr>
              <w:t>”</w:t>
            </w:r>
            <w:r w:rsidRPr="00D86937">
              <w:rPr>
                <w:rFonts w:ascii="Times New Roman" w:hAnsi="Times New Roman"/>
                <w:sz w:val="24"/>
                <w:szCs w:val="24"/>
              </w:rPr>
              <w:t>）</w:t>
            </w:r>
            <w:r w:rsidR="00780D6D" w:rsidRPr="00D86937">
              <w:rPr>
                <w:rFonts w:ascii="Times New Roman" w:hAnsi="Times New Roman"/>
                <w:sz w:val="24"/>
                <w:szCs w:val="24"/>
              </w:rPr>
              <w:t>从三井物产收购目标公司</w:t>
            </w:r>
            <w:r w:rsidR="00780D6D" w:rsidRPr="00D86937">
              <w:rPr>
                <w:rFonts w:ascii="Times New Roman" w:hAnsi="Times New Roman"/>
                <w:sz w:val="24"/>
                <w:szCs w:val="24"/>
              </w:rPr>
              <w:t>51%</w:t>
            </w:r>
            <w:r w:rsidR="00780D6D" w:rsidRPr="00D86937">
              <w:rPr>
                <w:rFonts w:hint="eastAsia"/>
                <w:sz w:val="24"/>
                <w:szCs w:val="24"/>
              </w:rPr>
              <w:t>的股份。本交易完成后，目标公司将由丰田金融和三井物产共同控制，并将继续从事其当前的业务，即仅在</w:t>
            </w:r>
            <w:r w:rsidR="00780D6D"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哥伦比亚提供汽车消费信贷服务</w:t>
            </w:r>
            <w:r w:rsidR="00780D6D"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04CA2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D86937" w:rsidRDefault="00CB00DF" w:rsidP="00D86937">
            <w:pPr>
              <w:spacing w:line="360" w:lineRule="auto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D86937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D86937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80D6D"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丰田金融</w:t>
            </w:r>
          </w:p>
        </w:tc>
        <w:tc>
          <w:tcPr>
            <w:tcW w:w="5153" w:type="dxa"/>
          </w:tcPr>
          <w:p w:rsidR="00CB00DF" w:rsidRPr="00D86937" w:rsidRDefault="00780D6D" w:rsidP="00D86937">
            <w:pPr>
              <w:spacing w:line="360" w:lineRule="auto"/>
            </w:pP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丰田金融是</w:t>
            </w:r>
            <w:r w:rsidR="00D86937">
              <w:rPr>
                <w:rFonts w:ascii="宋体" w:hAnsi="宋体"/>
                <w:sz w:val="24"/>
                <w:szCs w:val="24"/>
              </w:rPr>
              <w:t>一家依据日本法律成立并存续的公司，总部位于日本。</w:t>
            </w:r>
            <w:r w:rsidR="00D86937"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丰田金融</w:t>
            </w:r>
            <w:r w:rsid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一家控股公司，通过子公司为个人和企业提供汽车销售融资和租赁服务。丰田金融提供一系列金融服务，包括汽车销售融资、信用卡和保险服务。</w:t>
            </w:r>
          </w:p>
        </w:tc>
      </w:tr>
      <w:tr w:rsidR="00CB00DF" w:rsidRPr="00704CA2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704CA2" w:rsidRDefault="00CB00DF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80D6D" w:rsidRPr="00780D6D">
              <w:rPr>
                <w:rFonts w:ascii="Times New Roman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</w:t>
            </w:r>
          </w:p>
        </w:tc>
        <w:tc>
          <w:tcPr>
            <w:tcW w:w="5153" w:type="dxa"/>
          </w:tcPr>
          <w:p w:rsidR="00CB00DF" w:rsidRPr="00704CA2" w:rsidRDefault="00D86937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三井物产是一家在全球范围内从事商品交易等业务的日本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上市</w:t>
            </w:r>
            <w:r w:rsidRPr="00D86937">
              <w:rPr>
                <w:rFonts w:ascii="Times New Roman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贸易公司，包括销售、分销、采购、营销和供应如下业务领域的产品：钢铁、煤炭及有色金属、机械、电子产品、化学品和能源相关商品等。</w:t>
            </w:r>
          </w:p>
        </w:tc>
      </w:tr>
      <w:tr w:rsidR="00CB00DF" w:rsidRPr="00704CA2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704CA2" w:rsidRDefault="00704CA2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04CA2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04CA2" w:rsidRDefault="00704CA2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04CA2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04CA2" w:rsidRDefault="00704CA2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704CA2" w:rsidTr="00D86937">
        <w:trPr>
          <w:trHeight w:val="471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04CA2" w:rsidRDefault="003D4D26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="00704CA2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704CA2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04CA2" w:rsidRDefault="003D4D26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F7056">
              <w:rPr>
                <w:rFonts w:ascii="Times New Roman" w:hAnsi="Times New Roman"/>
                <w:bCs/>
                <w:sz w:val="24"/>
                <w:szCs w:val="24"/>
              </w:rPr>
              <w:sym w:font="Wingdings" w:char="F0FE"/>
            </w:r>
            <w:r w:rsidR="00704CA2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不在中国境内从事经济活动。</w:t>
            </w:r>
          </w:p>
        </w:tc>
      </w:tr>
      <w:tr w:rsidR="00CB00DF" w:rsidRPr="00704CA2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704CA2" w:rsidRDefault="00704CA2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704CA2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704CA2" w:rsidTr="00CB00DF">
        <w:tc>
          <w:tcPr>
            <w:tcW w:w="1809" w:type="dxa"/>
            <w:shd w:val="clear" w:color="auto" w:fill="D9D9D9"/>
            <w:vAlign w:val="center"/>
          </w:tcPr>
          <w:p w:rsidR="00CB00DF" w:rsidRPr="00704CA2" w:rsidRDefault="00CB00DF" w:rsidP="00CB00DF">
            <w:pPr>
              <w:spacing w:line="500" w:lineRule="exact"/>
              <w:jc w:val="center"/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04CA2">
              <w:rPr>
                <w:rFonts w:ascii="Times New Roman" w:hAnsi="Times New Roman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Pr="00704CA2" w:rsidRDefault="00CB00DF" w:rsidP="00D86937">
            <w:pPr>
              <w:spacing w:line="360" w:lineRule="auto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704CA2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CB00DF" w:rsidRPr="00704CA2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704CA2">
        <w:rPr>
          <w:rFonts w:ascii="Times New Roman" w:hAnsi="Times New Roman"/>
          <w:sz w:val="24"/>
          <w:szCs w:val="24"/>
        </w:rPr>
        <w:t>注解：</w:t>
      </w:r>
    </w:p>
    <w:p w:rsidR="00CB00DF" w:rsidRPr="00704CA2" w:rsidRDefault="00CB00DF" w:rsidP="00704CA2">
      <w:pPr>
        <w:snapToGrid w:val="0"/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704CA2">
        <w:rPr>
          <w:rFonts w:ascii="Times New Roman" w:hAnsi="Times New Roman"/>
          <w:sz w:val="24"/>
          <w:szCs w:val="24"/>
        </w:rPr>
        <w:t>1.</w:t>
      </w:r>
      <w:r w:rsidRPr="00704CA2">
        <w:rPr>
          <w:rFonts w:ascii="Times New Roman" w:hAnsi="Times New Roman"/>
          <w:sz w:val="24"/>
          <w:szCs w:val="24"/>
        </w:rPr>
        <w:t>申报方申请简易案件的理由是基于</w:t>
      </w:r>
      <w:r w:rsidRPr="00704CA2">
        <w:rPr>
          <w:rFonts w:ascii="Times New Roman" w:hAnsi="Times New Roman"/>
          <w:sz w:val="24"/>
          <w:szCs w:val="24"/>
        </w:rPr>
        <w:t>1-3</w:t>
      </w:r>
      <w:r w:rsidRPr="00704CA2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704CA2">
        <w:rPr>
          <w:rFonts w:ascii="Times New Roman" w:hAnsi="Times New Roman"/>
          <w:sz w:val="24"/>
          <w:szCs w:val="24"/>
        </w:rPr>
        <w:t>5%</w:t>
      </w:r>
      <w:r w:rsidRPr="00704CA2">
        <w:rPr>
          <w:rFonts w:ascii="Times New Roman" w:hAnsi="Times New Roman"/>
          <w:sz w:val="24"/>
          <w:szCs w:val="24"/>
        </w:rPr>
        <w:t>。</w:t>
      </w:r>
      <w:r w:rsidRPr="00704CA2">
        <w:rPr>
          <w:rFonts w:ascii="Times New Roman" w:hAnsi="Times New Roman"/>
          <w:sz w:val="24"/>
          <w:szCs w:val="24"/>
        </w:rPr>
        <w:t>1-3</w:t>
      </w:r>
      <w:r w:rsidRPr="00704CA2">
        <w:rPr>
          <w:rFonts w:ascii="Times New Roman" w:hAnsi="Times New Roman"/>
          <w:sz w:val="24"/>
          <w:szCs w:val="24"/>
        </w:rPr>
        <w:t>项可以多选，也可单选；</w:t>
      </w:r>
      <w:proofErr w:type="gramStart"/>
      <w:r w:rsidRPr="00704CA2">
        <w:rPr>
          <w:rFonts w:ascii="Times New Roman" w:hAnsi="Times New Roman"/>
          <w:sz w:val="24"/>
          <w:szCs w:val="24"/>
        </w:rPr>
        <w:t>没有勾选的</w:t>
      </w:r>
      <w:proofErr w:type="gramEnd"/>
      <w:r w:rsidRPr="00704CA2">
        <w:rPr>
          <w:rFonts w:ascii="Times New Roman" w:hAnsi="Times New Roman"/>
          <w:sz w:val="24"/>
          <w:szCs w:val="24"/>
        </w:rPr>
        <w:t>，视为本集中不涉及该类型交易。</w:t>
      </w:r>
    </w:p>
    <w:p w:rsidR="00CB00DF" w:rsidRPr="00704CA2" w:rsidRDefault="00CB00DF" w:rsidP="00704CA2">
      <w:pPr>
        <w:spacing w:line="360" w:lineRule="auto"/>
        <w:ind w:firstLineChars="200" w:firstLine="480"/>
        <w:rPr>
          <w:rFonts w:ascii="Times New Roman" w:hAnsi="Times New Roman"/>
          <w:sz w:val="28"/>
          <w:szCs w:val="28"/>
        </w:rPr>
      </w:pPr>
      <w:r w:rsidRPr="00704CA2">
        <w:rPr>
          <w:rFonts w:ascii="Times New Roman" w:hAnsi="Times New Roman"/>
          <w:sz w:val="24"/>
          <w:szCs w:val="24"/>
        </w:rPr>
        <w:t>2.</w:t>
      </w:r>
      <w:r w:rsidRPr="00704CA2">
        <w:rPr>
          <w:rFonts w:ascii="Times New Roman" w:hAnsi="Times New Roman"/>
          <w:sz w:val="24"/>
          <w:szCs w:val="24"/>
        </w:rPr>
        <w:t>申报方申请简易案件的理由是基于第</w:t>
      </w:r>
      <w:r w:rsidRPr="00704CA2">
        <w:rPr>
          <w:rFonts w:ascii="Times New Roman" w:hAnsi="Times New Roman"/>
          <w:sz w:val="24"/>
          <w:szCs w:val="24"/>
        </w:rPr>
        <w:t>4</w:t>
      </w:r>
      <w:r w:rsidRPr="00704CA2">
        <w:rPr>
          <w:rFonts w:ascii="Times New Roman" w:hAnsi="Times New Roman"/>
          <w:sz w:val="24"/>
          <w:szCs w:val="24"/>
        </w:rPr>
        <w:t>项、第</w:t>
      </w:r>
      <w:r w:rsidRPr="00704CA2">
        <w:rPr>
          <w:rFonts w:ascii="Times New Roman" w:hAnsi="Times New Roman"/>
          <w:sz w:val="24"/>
          <w:szCs w:val="24"/>
        </w:rPr>
        <w:t>5</w:t>
      </w:r>
      <w:r w:rsidRPr="00704CA2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704CA2">
        <w:rPr>
          <w:rFonts w:ascii="Times New Roman" w:hAnsi="Times New Roman"/>
          <w:sz w:val="24"/>
          <w:szCs w:val="24"/>
        </w:rPr>
        <w:br/>
        <w:t xml:space="preserve">    3.</w:t>
      </w:r>
      <w:r w:rsidRPr="00704CA2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704CA2">
        <w:rPr>
          <w:rFonts w:ascii="Times New Roman" w:hAnsi="Times New Roman"/>
          <w:sz w:val="24"/>
          <w:szCs w:val="24"/>
        </w:rPr>
        <w:t>同时勾选第</w:t>
      </w:r>
      <w:r w:rsidRPr="00704CA2">
        <w:rPr>
          <w:rFonts w:ascii="Times New Roman" w:hAnsi="Times New Roman"/>
          <w:sz w:val="24"/>
          <w:szCs w:val="24"/>
        </w:rPr>
        <w:t>1</w:t>
      </w:r>
      <w:r w:rsidRPr="00704CA2">
        <w:rPr>
          <w:rFonts w:ascii="Times New Roman" w:hAnsi="Times New Roman"/>
          <w:sz w:val="24"/>
          <w:szCs w:val="24"/>
        </w:rPr>
        <w:t>项</w:t>
      </w:r>
      <w:proofErr w:type="gramEnd"/>
      <w:r w:rsidRPr="00704CA2">
        <w:rPr>
          <w:rFonts w:ascii="Times New Roman" w:hAnsi="Times New Roman"/>
          <w:sz w:val="24"/>
          <w:szCs w:val="24"/>
        </w:rPr>
        <w:t>和第</w:t>
      </w:r>
      <w:r w:rsidRPr="00704CA2">
        <w:rPr>
          <w:rFonts w:ascii="Times New Roman" w:hAnsi="Times New Roman"/>
          <w:sz w:val="24"/>
          <w:szCs w:val="24"/>
        </w:rPr>
        <w:t>6</w:t>
      </w:r>
      <w:r w:rsidRPr="00704CA2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704CA2">
        <w:rPr>
          <w:rFonts w:ascii="Times New Roman" w:hAnsi="Times New Roman"/>
          <w:sz w:val="24"/>
          <w:szCs w:val="24"/>
        </w:rPr>
        <w:t>5%</w:t>
      </w:r>
      <w:r w:rsidRPr="00704CA2">
        <w:rPr>
          <w:rFonts w:ascii="Times New Roman" w:hAnsi="Times New Roman"/>
          <w:sz w:val="24"/>
          <w:szCs w:val="24"/>
        </w:rPr>
        <w:t>。</w:t>
      </w:r>
    </w:p>
    <w:p w:rsidR="00CB00DF" w:rsidRPr="00704CA2" w:rsidRDefault="00CB00DF" w:rsidP="00CB00DF">
      <w:pPr>
        <w:rPr>
          <w:rFonts w:ascii="Times New Roman" w:hAnsi="Times New Roman"/>
        </w:rPr>
      </w:pPr>
    </w:p>
    <w:p w:rsidR="000F5E24" w:rsidRPr="00704CA2" w:rsidRDefault="00D86937">
      <w:pPr>
        <w:rPr>
          <w:rFonts w:ascii="Times New Roman" w:hAnsi="Times New Roman"/>
        </w:rPr>
      </w:pPr>
    </w:p>
    <w:sectPr w:rsidR="000F5E24" w:rsidRPr="00704CA2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D7EBA"/>
    <w:rsid w:val="001164CD"/>
    <w:rsid w:val="00155717"/>
    <w:rsid w:val="001837A3"/>
    <w:rsid w:val="003C0AEB"/>
    <w:rsid w:val="003D4D26"/>
    <w:rsid w:val="004F7688"/>
    <w:rsid w:val="006467D8"/>
    <w:rsid w:val="006A531B"/>
    <w:rsid w:val="006F7693"/>
    <w:rsid w:val="00704CA2"/>
    <w:rsid w:val="00710140"/>
    <w:rsid w:val="00780D6D"/>
    <w:rsid w:val="007F2275"/>
    <w:rsid w:val="00915F0F"/>
    <w:rsid w:val="009532DF"/>
    <w:rsid w:val="00997019"/>
    <w:rsid w:val="009A5029"/>
    <w:rsid w:val="009D38D5"/>
    <w:rsid w:val="00A53F26"/>
    <w:rsid w:val="00A904C8"/>
    <w:rsid w:val="00AA0CC5"/>
    <w:rsid w:val="00B16AFE"/>
    <w:rsid w:val="00B65DD5"/>
    <w:rsid w:val="00BD10B6"/>
    <w:rsid w:val="00C07076"/>
    <w:rsid w:val="00CB00DF"/>
    <w:rsid w:val="00D73C72"/>
    <w:rsid w:val="00D86937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685EB"/>
  <w15:docId w15:val="{B278B07B-AAAB-49B5-9E9D-2A84973B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4CA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2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162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T&amp;D Associates</cp:lastModifiedBy>
  <cp:revision>5</cp:revision>
  <dcterms:created xsi:type="dcterms:W3CDTF">2018-09-29T02:33:00Z</dcterms:created>
  <dcterms:modified xsi:type="dcterms:W3CDTF">2021-05-17T03:50:00Z</dcterms:modified>
</cp:coreProperties>
</file>