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rFonts w:ascii="Arial" w:hAnsi="Arial" w:eastAsia="仿宋_GB2312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eastAsia="仿宋_GB2312" w:cs="Arial"/>
          <w:b/>
          <w:sz w:val="24"/>
          <w:szCs w:val="24"/>
        </w:rPr>
        <w:t>经营者集中简易案件公示表</w:t>
      </w:r>
    </w:p>
    <w:p>
      <w:pPr>
        <w:ind w:firstLine="724" w:firstLineChars="302"/>
        <w:rPr>
          <w:rFonts w:ascii="Arial" w:hAnsi="Arial" w:eastAsia="仿宋_GB2312" w:cs="Arial"/>
          <w:sz w:val="24"/>
          <w:szCs w:val="24"/>
        </w:rPr>
      </w:pPr>
    </w:p>
    <w:tbl>
      <w:tblPr>
        <w:tblStyle w:val="7"/>
        <w:tblW w:w="8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sz w:val="24"/>
                <w:szCs w:val="24"/>
              </w:rPr>
              <w:t>Canopus Healthcare Investments Pte. Ltd.收购成都安琪儿医疗控股有限公司股权案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Canopus Healthcare Investments Pte. Ltd.（以下简称“</w:t>
            </w: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CHI</w:t>
            </w: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”） 拟认购成都安琪儿医疗控股有限公司（以下简称“</w:t>
            </w:r>
            <w:r>
              <w:rPr>
                <w:rFonts w:hint="eastAsia"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成都安琪儿</w:t>
            </w: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”）新增注册资本，占成都安琪儿总注册资本的14.285714%的股份（以下简称“</w:t>
            </w:r>
            <w:r>
              <w:rPr>
                <w:rFonts w:hint="eastAsia"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本次交易</w:t>
            </w: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”）。本次交易完成后，成都安琪儿将由创始股东卓朝阳先生、CHI和成都安琪儿原股东CDAH Holdings Limited（以下简称“</w:t>
            </w: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CDAH</w:t>
            </w: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”）共同控制。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pStyle w:val="13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CHI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CHI系一家在新加坡设立的实体，由Sheares Healthcare Group Pte Ltd（中文译名薛尔思医疗集团，以下简称“</w:t>
            </w:r>
            <w:r>
              <w:rPr>
                <w:rFonts w:hint="eastAsia"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薛尔思</w:t>
            </w: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”）全资持有，是由</w:t>
            </w: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Temasek Holdings (Private) Limited</w:t>
            </w: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间接全资持有的一家独立运营的投资组合公司。薛尔思在亚洲和美国均有投资资产并提供医疗服务。在亚洲的投资主要集中在中国、印度、越南、马来西亚、印尼和菲律宾。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13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卓朝阳先生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卓朝阳先生主要通过成都安琪儿在成都、昆明、重庆和西安从事妇产科医院医疗服务业务。除安琪儿集团外，卓朝阳先生未控制其他企业。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13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C</w:t>
            </w: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DAH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CDAH除持有成都安琪儿股权外，CDAH在中国境内不存在其他业务。CDAH隶属于NewQuest Capital Partners管理的私募股权投资基金。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13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成都安琪儿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成都安琪儿及其控制的关联实体（以下简称“</w:t>
            </w:r>
            <w:r>
              <w:rPr>
                <w:rFonts w:hint="eastAsia"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安琪儿集团</w:t>
            </w:r>
            <w:r>
              <w:rPr>
                <w:rFonts w:hint="eastAsia" w:ascii="Arial" w:hAnsi="Arial" w:eastAsia="仿宋_GB2312" w:cs="Arial"/>
                <w:color w:val="333333"/>
                <w:kern w:val="0"/>
                <w:sz w:val="24"/>
                <w:szCs w:val="24"/>
              </w:rPr>
              <w:t>”）在成都市、昆明市、西安市和重庆市从事妇产科医院医疗服务。总部位于四川成都，目前已创建了5家妇产医院：成都安琪儿妇产医院（高攀院区）、成都安琪儿妇产医院（蜀汉院区）、西安安琪儿妇产医院、昆明安琪儿妇产医院、重庆安琪儿妇产医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□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□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sz w:val="24"/>
                <w:szCs w:val="24"/>
              </w:rPr>
              <w:sym w:font="Wingdings" w:char="F0FE"/>
            </w: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Arial" w:hAnsi="Arial" w:eastAsia="仿宋_GB2312" w:cs="Arial"/>
                <w:sz w:val="24"/>
                <w:szCs w:val="24"/>
              </w:rPr>
              <w:t xml:space="preserve"> </w:t>
            </w: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□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color w:val="333333"/>
                <w:kern w:val="0"/>
                <w:sz w:val="24"/>
                <w:szCs w:val="24"/>
              </w:rPr>
              <w:t>□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3"/>
              <w:numPr>
                <w:ilvl w:val="0"/>
                <w:numId w:val="2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相关产品市场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妇产科医院医疗服务市场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相关地域市场：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成都市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市场份额：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成都安琪儿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[0-5]%</w:t>
            </w:r>
          </w:p>
          <w:p>
            <w:pPr>
              <w:pStyle w:val="13"/>
              <w:numPr>
                <w:ilvl w:val="0"/>
                <w:numId w:val="2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相关产品市场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妇产科医院医疗服务市场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相关地域市场：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昆明市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市场份额：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成都安琪儿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[5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-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10]%</w:t>
            </w:r>
          </w:p>
          <w:p>
            <w:pPr>
              <w:pStyle w:val="13"/>
              <w:numPr>
                <w:ilvl w:val="0"/>
                <w:numId w:val="2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相关产品市场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妇产科医院医疗服务市场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相关地域市场：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西安市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市场份额：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成都安琪儿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[0-5]%</w:t>
            </w:r>
          </w:p>
          <w:p>
            <w:pPr>
              <w:pStyle w:val="13"/>
              <w:numPr>
                <w:ilvl w:val="0"/>
                <w:numId w:val="2"/>
              </w:numPr>
              <w:spacing w:before="156" w:beforeLines="50" w:after="156" w:afterLines="50"/>
              <w:ind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相关产品市场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妇产科医院医疗服务市场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相关地域市场：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重庆市</w:t>
            </w:r>
          </w:p>
          <w:p>
            <w:pPr>
              <w:pStyle w:val="13"/>
              <w:spacing w:before="156" w:beforeLines="50" w:after="156" w:afterLines="50"/>
              <w:ind w:left="420" w:firstLine="0" w:firstLineChars="0"/>
              <w:rPr>
                <w:rFonts w:ascii="Arial" w:hAnsi="Arial" w:eastAsia="仿宋_GB2312" w:cs="Arial"/>
                <w:sz w:val="24"/>
                <w:szCs w:val="24"/>
              </w:rPr>
            </w:pPr>
            <w:r>
              <w:rPr>
                <w:rFonts w:ascii="Arial" w:hAnsi="Arial" w:eastAsia="仿宋_GB2312" w:cs="Arial"/>
                <w:b/>
                <w:sz w:val="24"/>
                <w:szCs w:val="24"/>
              </w:rPr>
              <w:t>市场份额：</w:t>
            </w:r>
            <w:r>
              <w:rPr>
                <w:rFonts w:hint="eastAsia" w:ascii="Arial" w:hAnsi="Arial" w:eastAsia="仿宋_GB2312" w:cs="Arial"/>
                <w:sz w:val="24"/>
                <w:szCs w:val="24"/>
              </w:rPr>
              <w:t>成都安琪儿</w:t>
            </w:r>
            <w:r>
              <w:rPr>
                <w:rFonts w:ascii="Arial" w:hAnsi="Arial" w:eastAsia="仿宋_GB2312" w:cs="Arial"/>
                <w:sz w:val="24"/>
                <w:szCs w:val="24"/>
              </w:rPr>
              <w:t>[0-5]%</w:t>
            </w:r>
          </w:p>
        </w:tc>
      </w:tr>
    </w:tbl>
    <w:p>
      <w:pPr>
        <w:snapToGrid w:val="0"/>
        <w:spacing w:before="156" w:beforeLines="50" w:after="156" w:afterLines="50"/>
        <w:jc w:val="left"/>
        <w:rPr>
          <w:rFonts w:ascii="Arial" w:hAnsi="Arial" w:eastAsia="仿宋_GB2312" w:cs="Arial"/>
          <w:sz w:val="24"/>
          <w:szCs w:val="24"/>
        </w:rPr>
      </w:pPr>
    </w:p>
    <w:p>
      <w:pPr>
        <w:snapToGrid w:val="0"/>
        <w:spacing w:before="156" w:beforeLines="50" w:after="156" w:afterLines="50"/>
        <w:jc w:val="left"/>
        <w:rPr>
          <w:rFonts w:ascii="Arial" w:hAnsi="Arial" w:eastAsia="仿宋_GB2312" w:cs="Arial"/>
          <w:sz w:val="24"/>
          <w:szCs w:val="24"/>
        </w:rPr>
      </w:pPr>
      <w:r>
        <w:rPr>
          <w:rFonts w:ascii="Arial" w:hAnsi="Arial" w:eastAsia="仿宋_GB2312" w:cs="Arial"/>
          <w:sz w:val="24"/>
          <w:szCs w:val="24"/>
        </w:rPr>
        <w:t>注解：</w:t>
      </w:r>
    </w:p>
    <w:p>
      <w:pPr>
        <w:snapToGrid w:val="0"/>
        <w:spacing w:before="156" w:beforeLines="50" w:after="156" w:afterLines="50"/>
        <w:jc w:val="left"/>
        <w:rPr>
          <w:rFonts w:ascii="Arial" w:hAnsi="Arial" w:eastAsia="仿宋_GB2312" w:cs="Arial"/>
          <w:sz w:val="24"/>
          <w:szCs w:val="24"/>
        </w:rPr>
      </w:pPr>
    </w:p>
    <w:p>
      <w:pPr>
        <w:pStyle w:val="13"/>
        <w:numPr>
          <w:ilvl w:val="0"/>
          <w:numId w:val="3"/>
        </w:numPr>
        <w:snapToGrid w:val="0"/>
        <w:spacing w:before="156" w:beforeLines="50" w:after="156" w:afterLines="50"/>
        <w:ind w:firstLineChars="0"/>
        <w:jc w:val="left"/>
        <w:rPr>
          <w:rFonts w:ascii="Arial" w:hAnsi="Arial" w:eastAsia="仿宋_GB2312" w:cs="Arial"/>
          <w:sz w:val="24"/>
          <w:szCs w:val="24"/>
        </w:rPr>
      </w:pPr>
      <w:r>
        <w:rPr>
          <w:rFonts w:ascii="Arial" w:hAnsi="Arial" w:eastAsia="仿宋_GB2312" w:cs="Arial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pStyle w:val="13"/>
        <w:numPr>
          <w:ilvl w:val="0"/>
          <w:numId w:val="3"/>
        </w:numPr>
        <w:snapToGrid w:val="0"/>
        <w:spacing w:before="156" w:beforeLines="50" w:after="156" w:afterLines="50"/>
        <w:ind w:firstLineChars="0"/>
        <w:jc w:val="left"/>
        <w:rPr>
          <w:rFonts w:ascii="Arial" w:hAnsi="Arial" w:eastAsia="仿宋_GB2312" w:cs="Arial"/>
          <w:sz w:val="24"/>
          <w:szCs w:val="24"/>
        </w:rPr>
      </w:pPr>
      <w:r>
        <w:rPr>
          <w:rFonts w:ascii="Arial" w:hAnsi="Arial" w:eastAsia="仿宋_GB2312" w:cs="Arial"/>
          <w:sz w:val="24"/>
          <w:szCs w:val="24"/>
        </w:rPr>
        <w:t>申报方申请简易案件的理由是基于第4项、第5项时，无须在备注中说明相关市场和市场份额。</w:t>
      </w:r>
    </w:p>
    <w:p>
      <w:pPr>
        <w:pStyle w:val="13"/>
        <w:numPr>
          <w:ilvl w:val="0"/>
          <w:numId w:val="3"/>
        </w:numPr>
        <w:snapToGrid w:val="0"/>
        <w:spacing w:before="156" w:beforeLines="50" w:after="156" w:afterLines="50"/>
        <w:ind w:firstLineChars="0"/>
        <w:jc w:val="left"/>
        <w:rPr>
          <w:rFonts w:ascii="Arial" w:hAnsi="Arial" w:eastAsia="仿宋_GB2312" w:cs="Arial"/>
          <w:sz w:val="24"/>
          <w:szCs w:val="24"/>
        </w:rPr>
      </w:pPr>
      <w:r>
        <w:rPr>
          <w:rFonts w:ascii="Arial" w:hAnsi="Arial" w:eastAsia="仿宋_GB2312" w:cs="Arial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011971"/>
    <w:multiLevelType w:val="multilevel"/>
    <w:tmpl w:val="69011971"/>
    <w:lvl w:ilvl="0" w:tentative="0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8C7484"/>
    <w:multiLevelType w:val="multilevel"/>
    <w:tmpl w:val="6C8C7484"/>
    <w:lvl w:ilvl="0" w:tentative="0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2DC2756"/>
    <w:multiLevelType w:val="multilevel"/>
    <w:tmpl w:val="72DC275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172"/>
    <w:rsid w:val="0002110B"/>
    <w:rsid w:val="00037065"/>
    <w:rsid w:val="00061C88"/>
    <w:rsid w:val="00097426"/>
    <w:rsid w:val="000C7C96"/>
    <w:rsid w:val="000D7EBA"/>
    <w:rsid w:val="000E5415"/>
    <w:rsid w:val="000F448E"/>
    <w:rsid w:val="00105756"/>
    <w:rsid w:val="00113687"/>
    <w:rsid w:val="001164CD"/>
    <w:rsid w:val="001173AE"/>
    <w:rsid w:val="00124635"/>
    <w:rsid w:val="00131169"/>
    <w:rsid w:val="00147A01"/>
    <w:rsid w:val="00155717"/>
    <w:rsid w:val="00162B47"/>
    <w:rsid w:val="001837A3"/>
    <w:rsid w:val="001E67BE"/>
    <w:rsid w:val="001E696F"/>
    <w:rsid w:val="002025F7"/>
    <w:rsid w:val="00223A2E"/>
    <w:rsid w:val="0026334E"/>
    <w:rsid w:val="00276137"/>
    <w:rsid w:val="002A1897"/>
    <w:rsid w:val="002C1479"/>
    <w:rsid w:val="002C6318"/>
    <w:rsid w:val="002C78B8"/>
    <w:rsid w:val="002C7959"/>
    <w:rsid w:val="002E110F"/>
    <w:rsid w:val="0030687E"/>
    <w:rsid w:val="003069B6"/>
    <w:rsid w:val="00312A20"/>
    <w:rsid w:val="003172BA"/>
    <w:rsid w:val="00323E0B"/>
    <w:rsid w:val="00341E2D"/>
    <w:rsid w:val="00384336"/>
    <w:rsid w:val="00384C6E"/>
    <w:rsid w:val="00397799"/>
    <w:rsid w:val="003A5B59"/>
    <w:rsid w:val="003B1771"/>
    <w:rsid w:val="003C0AEB"/>
    <w:rsid w:val="00412ADE"/>
    <w:rsid w:val="004150A0"/>
    <w:rsid w:val="00423984"/>
    <w:rsid w:val="00425A45"/>
    <w:rsid w:val="00447EF3"/>
    <w:rsid w:val="004C5E1A"/>
    <w:rsid w:val="004C68DA"/>
    <w:rsid w:val="004F7688"/>
    <w:rsid w:val="00506996"/>
    <w:rsid w:val="005106AC"/>
    <w:rsid w:val="00513D3C"/>
    <w:rsid w:val="005519D8"/>
    <w:rsid w:val="005811E2"/>
    <w:rsid w:val="005A123F"/>
    <w:rsid w:val="005C16CD"/>
    <w:rsid w:val="005D01A7"/>
    <w:rsid w:val="005E2D63"/>
    <w:rsid w:val="00607AEE"/>
    <w:rsid w:val="006467D8"/>
    <w:rsid w:val="0066023B"/>
    <w:rsid w:val="00686180"/>
    <w:rsid w:val="00695C3E"/>
    <w:rsid w:val="006A531B"/>
    <w:rsid w:val="006E230F"/>
    <w:rsid w:val="006F5FC2"/>
    <w:rsid w:val="006F7693"/>
    <w:rsid w:val="00710140"/>
    <w:rsid w:val="007468BF"/>
    <w:rsid w:val="007531BC"/>
    <w:rsid w:val="00771CAF"/>
    <w:rsid w:val="00782E40"/>
    <w:rsid w:val="007A0B4F"/>
    <w:rsid w:val="007B4A69"/>
    <w:rsid w:val="007D208C"/>
    <w:rsid w:val="007F2275"/>
    <w:rsid w:val="007F4C8F"/>
    <w:rsid w:val="008056C9"/>
    <w:rsid w:val="00805EC9"/>
    <w:rsid w:val="0084105F"/>
    <w:rsid w:val="00857984"/>
    <w:rsid w:val="00857E2D"/>
    <w:rsid w:val="008863C9"/>
    <w:rsid w:val="008933DB"/>
    <w:rsid w:val="008C2411"/>
    <w:rsid w:val="008C3C77"/>
    <w:rsid w:val="008C6EA9"/>
    <w:rsid w:val="008F2027"/>
    <w:rsid w:val="008F3783"/>
    <w:rsid w:val="008F7891"/>
    <w:rsid w:val="00915F0F"/>
    <w:rsid w:val="0092600A"/>
    <w:rsid w:val="00937F9D"/>
    <w:rsid w:val="009514BC"/>
    <w:rsid w:val="009532DF"/>
    <w:rsid w:val="009537B1"/>
    <w:rsid w:val="0096463F"/>
    <w:rsid w:val="00997019"/>
    <w:rsid w:val="009A5029"/>
    <w:rsid w:val="009C71BF"/>
    <w:rsid w:val="009C7F6E"/>
    <w:rsid w:val="009D38D5"/>
    <w:rsid w:val="009E26B4"/>
    <w:rsid w:val="009F35CF"/>
    <w:rsid w:val="00A330B4"/>
    <w:rsid w:val="00A33DDD"/>
    <w:rsid w:val="00A53F26"/>
    <w:rsid w:val="00A56292"/>
    <w:rsid w:val="00A679CE"/>
    <w:rsid w:val="00A70231"/>
    <w:rsid w:val="00AA0CC5"/>
    <w:rsid w:val="00AA2A5F"/>
    <w:rsid w:val="00AA6C81"/>
    <w:rsid w:val="00AD4623"/>
    <w:rsid w:val="00AE3F05"/>
    <w:rsid w:val="00B04F7F"/>
    <w:rsid w:val="00B16AFE"/>
    <w:rsid w:val="00B65DD5"/>
    <w:rsid w:val="00BA36B1"/>
    <w:rsid w:val="00BC6D1D"/>
    <w:rsid w:val="00BD10B6"/>
    <w:rsid w:val="00C0470E"/>
    <w:rsid w:val="00C07076"/>
    <w:rsid w:val="00C14BE4"/>
    <w:rsid w:val="00C15AD6"/>
    <w:rsid w:val="00C431B6"/>
    <w:rsid w:val="00C61DDB"/>
    <w:rsid w:val="00CA254B"/>
    <w:rsid w:val="00CB00DF"/>
    <w:rsid w:val="00CB45F3"/>
    <w:rsid w:val="00CC4E37"/>
    <w:rsid w:val="00CD0594"/>
    <w:rsid w:val="00CE3406"/>
    <w:rsid w:val="00D04CBE"/>
    <w:rsid w:val="00D21E47"/>
    <w:rsid w:val="00D32538"/>
    <w:rsid w:val="00D42290"/>
    <w:rsid w:val="00D502D9"/>
    <w:rsid w:val="00D63A54"/>
    <w:rsid w:val="00D73C72"/>
    <w:rsid w:val="00D80AE7"/>
    <w:rsid w:val="00D8676A"/>
    <w:rsid w:val="00DB5260"/>
    <w:rsid w:val="00E0592B"/>
    <w:rsid w:val="00E103D7"/>
    <w:rsid w:val="00E2626B"/>
    <w:rsid w:val="00E31738"/>
    <w:rsid w:val="00E412CC"/>
    <w:rsid w:val="00E448F9"/>
    <w:rsid w:val="00E54C83"/>
    <w:rsid w:val="00E762B8"/>
    <w:rsid w:val="00E86786"/>
    <w:rsid w:val="00E96305"/>
    <w:rsid w:val="00EC010B"/>
    <w:rsid w:val="00ED2F80"/>
    <w:rsid w:val="00EF04A5"/>
    <w:rsid w:val="00F1618B"/>
    <w:rsid w:val="00F1624E"/>
    <w:rsid w:val="00F168F7"/>
    <w:rsid w:val="00F31EE8"/>
    <w:rsid w:val="00F32F8A"/>
    <w:rsid w:val="00F53326"/>
    <w:rsid w:val="00F810AA"/>
    <w:rsid w:val="00FB43EC"/>
    <w:rsid w:val="00FB6B40"/>
    <w:rsid w:val="00FE7707"/>
    <w:rsid w:val="FB5FEC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242</Words>
  <Characters>1381</Characters>
  <Lines>11</Lines>
  <Paragraphs>3</Paragraphs>
  <TotalTime>17</TotalTime>
  <ScaleCrop>false</ScaleCrop>
  <LinksUpToDate>false</LinksUpToDate>
  <CharactersWithSpaces>1620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2021-04-22T00:31:00Z</dcterms:created>
  <dc:creator>Liu, Jiachun</dc:creator>
  <cp:lastModifiedBy>greatwall</cp:lastModifiedBy>
  <cp:lastPrinted>2021-03-26T00:02:00Z</cp:lastPrinted>
  <dcterms:modified xsi:type="dcterms:W3CDTF">2021-06-18T13:58:59Z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