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494E" w14:textId="77777777" w:rsidR="00022444" w:rsidRDefault="008454D1">
      <w:pPr>
        <w:spacing w:line="440" w:lineRule="exact"/>
        <w:jc w:val="center"/>
        <w:rPr>
          <w:rFonts w:ascii="黑体" w:eastAsia="黑体" w:hAnsi="Times New Roman"/>
          <w:sz w:val="28"/>
          <w:szCs w:val="28"/>
        </w:rPr>
      </w:pPr>
      <w:r>
        <w:rPr>
          <w:rFonts w:ascii="黑体" w:eastAsia="黑体" w:hAnsi="Times New Roman" w:hint="eastAsia"/>
          <w:sz w:val="30"/>
          <w:szCs w:val="30"/>
        </w:rPr>
        <w:t>经营者集中简易案件公示表</w:t>
      </w:r>
    </w:p>
    <w:p w14:paraId="3A8F0EE0" w14:textId="77777777" w:rsidR="00022444" w:rsidRDefault="00022444">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843"/>
        <w:gridCol w:w="5106"/>
      </w:tblGrid>
      <w:tr w:rsidR="00022444" w14:paraId="4FB96EAB" w14:textId="77777777">
        <w:tc>
          <w:tcPr>
            <w:tcW w:w="1809" w:type="dxa"/>
            <w:shd w:val="clear" w:color="auto" w:fill="D9D9D9"/>
            <w:vAlign w:val="center"/>
          </w:tcPr>
          <w:p w14:paraId="1D3A838A"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案件名称</w:t>
            </w:r>
          </w:p>
        </w:tc>
        <w:tc>
          <w:tcPr>
            <w:tcW w:w="6949" w:type="dxa"/>
            <w:gridSpan w:val="2"/>
            <w:vAlign w:val="center"/>
          </w:tcPr>
          <w:p w14:paraId="68D508A4" w14:textId="77777777" w:rsidR="00022444" w:rsidRDefault="008454D1">
            <w:pPr>
              <w:spacing w:line="360" w:lineRule="auto"/>
              <w:rPr>
                <w:rFonts w:ascii="仿宋" w:eastAsia="仿宋" w:hAnsi="仿宋" w:cs="仿宋"/>
                <w:szCs w:val="21"/>
              </w:rPr>
            </w:pPr>
            <w:r>
              <w:rPr>
                <w:rFonts w:ascii="仿宋" w:eastAsia="仿宋" w:hAnsi="仿宋" w:cs="仿宋"/>
                <w:szCs w:val="21"/>
              </w:rPr>
              <w:t>杭州圣禹新材料科技有限公司收购圣戈班管道系统有限公司股权案</w:t>
            </w:r>
          </w:p>
        </w:tc>
      </w:tr>
      <w:tr w:rsidR="00022444" w14:paraId="6C9C9B67" w14:textId="77777777">
        <w:trPr>
          <w:trHeight w:val="993"/>
        </w:trPr>
        <w:tc>
          <w:tcPr>
            <w:tcW w:w="1809" w:type="dxa"/>
            <w:shd w:val="clear" w:color="auto" w:fill="D9D9D9"/>
            <w:vAlign w:val="center"/>
          </w:tcPr>
          <w:p w14:paraId="17D76FF7"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交易概况</w:t>
            </w:r>
          </w:p>
          <w:p w14:paraId="3EEF020A"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（限</w:t>
            </w:r>
            <w:r>
              <w:rPr>
                <w:rFonts w:ascii="仿宋" w:eastAsia="仿宋" w:hAnsi="仿宋" w:cs="仿宋" w:hint="eastAsia"/>
                <w:color w:val="333333"/>
                <w:kern w:val="0"/>
                <w:szCs w:val="21"/>
              </w:rPr>
              <w:t>200</w:t>
            </w:r>
            <w:r>
              <w:rPr>
                <w:rFonts w:ascii="仿宋" w:eastAsia="仿宋" w:hAnsi="仿宋" w:cs="仿宋" w:hint="eastAsia"/>
                <w:color w:val="333333"/>
                <w:kern w:val="0"/>
                <w:szCs w:val="21"/>
              </w:rPr>
              <w:t>字内）</w:t>
            </w:r>
          </w:p>
        </w:tc>
        <w:tc>
          <w:tcPr>
            <w:tcW w:w="6949" w:type="dxa"/>
            <w:gridSpan w:val="2"/>
            <w:tcBorders>
              <w:bottom w:val="single" w:sz="4" w:space="0" w:color="auto"/>
            </w:tcBorders>
            <w:vAlign w:val="center"/>
          </w:tcPr>
          <w:p w14:paraId="722E1305" w14:textId="1688DCA2" w:rsidR="00022444" w:rsidRDefault="008454D1">
            <w:pPr>
              <w:spacing w:line="360" w:lineRule="auto"/>
              <w:rPr>
                <w:rFonts w:ascii="仿宋" w:hAnsi="仿宋" w:cs="仿宋"/>
                <w:szCs w:val="21"/>
              </w:rPr>
            </w:pPr>
            <w:r>
              <w:rPr>
                <w:rFonts w:ascii="仿宋" w:eastAsia="仿宋" w:hAnsi="仿宋" w:cs="仿宋" w:hint="eastAsia"/>
                <w:szCs w:val="21"/>
              </w:rPr>
              <w:t>根据交易协议，杭州圣禹新材料科技有限公司</w:t>
            </w:r>
            <w:r>
              <w:rPr>
                <w:rFonts w:ascii="仿宋" w:eastAsia="仿宋" w:hAnsi="仿宋" w:cs="仿宋"/>
                <w:szCs w:val="21"/>
              </w:rPr>
              <w:t>（</w:t>
            </w:r>
            <w:r>
              <w:rPr>
                <w:rFonts w:ascii="仿宋" w:eastAsia="仿宋" w:hAnsi="仿宋" w:cs="仿宋" w:hint="eastAsia"/>
                <w:szCs w:val="21"/>
              </w:rPr>
              <w:t>“</w:t>
            </w:r>
            <w:r>
              <w:rPr>
                <w:rFonts w:ascii="仿宋" w:eastAsia="仿宋" w:hAnsi="仿宋" w:cs="仿宋" w:hint="eastAsia"/>
                <w:b/>
                <w:bCs/>
                <w:szCs w:val="21"/>
              </w:rPr>
              <w:t>圣禹新材料</w:t>
            </w:r>
            <w:r>
              <w:rPr>
                <w:rFonts w:ascii="仿宋" w:eastAsia="仿宋" w:hAnsi="仿宋" w:cs="仿宋" w:hint="eastAsia"/>
                <w:szCs w:val="21"/>
              </w:rPr>
              <w:t>”</w:t>
            </w:r>
            <w:r>
              <w:rPr>
                <w:rFonts w:ascii="仿宋" w:eastAsia="仿宋" w:hAnsi="仿宋" w:cs="仿宋"/>
                <w:szCs w:val="21"/>
              </w:rPr>
              <w:t>）</w:t>
            </w:r>
            <w:r>
              <w:rPr>
                <w:rFonts w:ascii="仿宋" w:eastAsia="仿宋" w:hAnsi="仿宋" w:cs="仿宋" w:hint="eastAsia"/>
                <w:szCs w:val="21"/>
              </w:rPr>
              <w:t>分三步收购圣戈班（中国）投资有限公司持有的圣戈班管道系统有限公司（“</w:t>
            </w:r>
            <w:r>
              <w:rPr>
                <w:rFonts w:ascii="仿宋" w:eastAsia="仿宋" w:hAnsi="仿宋" w:cs="仿宋" w:hint="eastAsia"/>
                <w:b/>
                <w:bCs/>
                <w:szCs w:val="21"/>
              </w:rPr>
              <w:t>圣戈班管道</w:t>
            </w:r>
            <w:r>
              <w:rPr>
                <w:rFonts w:ascii="仿宋" w:eastAsia="仿宋" w:hAnsi="仿宋" w:cs="仿宋" w:hint="eastAsia"/>
                <w:szCs w:val="21"/>
              </w:rPr>
              <w:t>”）</w:t>
            </w:r>
            <w:r>
              <w:rPr>
                <w:rFonts w:ascii="仿宋" w:eastAsia="仿宋" w:hAnsi="仿宋" w:cs="仿宋"/>
                <w:szCs w:val="21"/>
              </w:rPr>
              <w:t>的</w:t>
            </w:r>
            <w:r>
              <w:rPr>
                <w:rFonts w:ascii="仿宋" w:eastAsia="仿宋" w:hAnsi="仿宋" w:cs="仿宋" w:hint="eastAsia"/>
                <w:szCs w:val="21"/>
              </w:rPr>
              <w:t>全部股权。交易完成后，</w:t>
            </w:r>
            <w:r>
              <w:rPr>
                <w:rFonts w:ascii="仿宋" w:eastAsia="仿宋" w:hAnsi="仿宋" w:cs="仿宋" w:hint="eastAsia"/>
                <w:szCs w:val="21"/>
              </w:rPr>
              <w:t>圣禹新材料</w:t>
            </w:r>
            <w:r w:rsidR="00F84C37">
              <w:rPr>
                <w:rFonts w:ascii="仿宋" w:eastAsia="仿宋" w:hAnsi="仿宋" w:cs="仿宋" w:hint="eastAsia"/>
                <w:szCs w:val="21"/>
              </w:rPr>
              <w:t>对</w:t>
            </w:r>
            <w:r w:rsidR="00F84C37">
              <w:rPr>
                <w:rFonts w:ascii="仿宋" w:eastAsia="仿宋" w:hAnsi="仿宋" w:cs="仿宋" w:hint="eastAsia"/>
                <w:szCs w:val="21"/>
              </w:rPr>
              <w:t>圣戈班管道</w:t>
            </w:r>
            <w:r w:rsidR="00F84C37">
              <w:rPr>
                <w:rFonts w:ascii="仿宋" w:eastAsia="仿宋" w:hAnsi="仿宋" w:cs="仿宋" w:hint="eastAsia"/>
                <w:szCs w:val="21"/>
              </w:rPr>
              <w:t>实施单独控制</w:t>
            </w:r>
            <w:r>
              <w:rPr>
                <w:rFonts w:ascii="仿宋" w:eastAsia="仿宋" w:hAnsi="仿宋" w:cs="仿宋" w:hint="eastAsia"/>
                <w:szCs w:val="21"/>
              </w:rPr>
              <w:t>。</w:t>
            </w:r>
          </w:p>
        </w:tc>
      </w:tr>
      <w:tr w:rsidR="00022444" w14:paraId="3FBCFBB7" w14:textId="77777777">
        <w:trPr>
          <w:trHeight w:val="365"/>
        </w:trPr>
        <w:tc>
          <w:tcPr>
            <w:tcW w:w="1809" w:type="dxa"/>
            <w:vMerge w:val="restart"/>
            <w:tcBorders>
              <w:right w:val="single" w:sz="4" w:space="0" w:color="auto"/>
            </w:tcBorders>
            <w:shd w:val="clear" w:color="auto" w:fill="D9D9D9"/>
            <w:vAlign w:val="center"/>
          </w:tcPr>
          <w:p w14:paraId="4F02B088"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参与集中的</w:t>
            </w:r>
          </w:p>
          <w:p w14:paraId="353B43D3"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经营者简介</w:t>
            </w:r>
          </w:p>
        </w:tc>
        <w:tc>
          <w:tcPr>
            <w:tcW w:w="1843" w:type="dxa"/>
            <w:tcBorders>
              <w:top w:val="single" w:sz="4" w:space="0" w:color="auto"/>
              <w:left w:val="single" w:sz="4" w:space="0" w:color="auto"/>
              <w:bottom w:val="single" w:sz="4" w:space="0" w:color="auto"/>
              <w:right w:val="single" w:sz="4" w:space="0" w:color="auto"/>
            </w:tcBorders>
            <w:vAlign w:val="center"/>
          </w:tcPr>
          <w:p w14:paraId="3DA5B724" w14:textId="77777777" w:rsidR="00022444" w:rsidRDefault="008454D1">
            <w:pPr>
              <w:spacing w:line="360" w:lineRule="auto"/>
              <w:rPr>
                <w:rFonts w:ascii="仿宋" w:eastAsia="仿宋" w:hAnsi="仿宋" w:cs="仿宋"/>
                <w:szCs w:val="21"/>
              </w:rPr>
            </w:pPr>
            <w:r>
              <w:rPr>
                <w:rFonts w:ascii="仿宋" w:eastAsia="仿宋" w:hAnsi="仿宋" w:cs="仿宋" w:hint="eastAsia"/>
                <w:szCs w:val="21"/>
              </w:rPr>
              <w:t>1</w:t>
            </w:r>
            <w:r>
              <w:rPr>
                <w:rFonts w:ascii="仿宋" w:eastAsia="仿宋" w:hAnsi="仿宋" w:cs="仿宋" w:hint="eastAsia"/>
                <w:szCs w:val="21"/>
              </w:rPr>
              <w:t>、圣禹新材料</w:t>
            </w:r>
          </w:p>
        </w:tc>
        <w:tc>
          <w:tcPr>
            <w:tcW w:w="5106" w:type="dxa"/>
            <w:tcBorders>
              <w:top w:val="single" w:sz="4" w:space="0" w:color="auto"/>
              <w:left w:val="single" w:sz="4" w:space="0" w:color="auto"/>
              <w:bottom w:val="single" w:sz="4" w:space="0" w:color="auto"/>
              <w:right w:val="single" w:sz="4" w:space="0" w:color="auto"/>
            </w:tcBorders>
            <w:vAlign w:val="center"/>
          </w:tcPr>
          <w:p w14:paraId="196FB07B" w14:textId="1B27B458" w:rsidR="00022444" w:rsidRDefault="008454D1">
            <w:pPr>
              <w:spacing w:line="360" w:lineRule="auto"/>
              <w:rPr>
                <w:rFonts w:ascii="仿宋" w:eastAsia="仿宋" w:hAnsi="仿宋" w:cs="仿宋"/>
                <w:szCs w:val="21"/>
              </w:rPr>
            </w:pPr>
            <w:r>
              <w:rPr>
                <w:rFonts w:ascii="仿宋" w:eastAsia="仿宋" w:hAnsi="仿宋" w:cs="仿宋"/>
                <w:szCs w:val="21"/>
              </w:rPr>
              <w:t>圣禹新材料系圣戈班管道的管理层及部分员工与外部投资者为实施本次交易于</w:t>
            </w:r>
            <w:r>
              <w:rPr>
                <w:rFonts w:ascii="仿宋" w:eastAsia="仿宋" w:hAnsi="仿宋" w:cs="仿宋"/>
                <w:szCs w:val="21"/>
              </w:rPr>
              <w:t>2020</w:t>
            </w:r>
            <w:r>
              <w:rPr>
                <w:rFonts w:ascii="仿宋" w:eastAsia="仿宋" w:hAnsi="仿宋" w:cs="仿宋"/>
                <w:szCs w:val="21"/>
              </w:rPr>
              <w:t>年</w:t>
            </w:r>
            <w:r>
              <w:rPr>
                <w:rFonts w:ascii="仿宋" w:eastAsia="仿宋" w:hAnsi="仿宋" w:cs="仿宋"/>
                <w:szCs w:val="21"/>
              </w:rPr>
              <w:t>12</w:t>
            </w:r>
            <w:r>
              <w:rPr>
                <w:rFonts w:ascii="仿宋" w:eastAsia="仿宋" w:hAnsi="仿宋" w:cs="仿宋"/>
                <w:szCs w:val="21"/>
              </w:rPr>
              <w:t>月</w:t>
            </w:r>
            <w:r>
              <w:rPr>
                <w:rFonts w:ascii="仿宋" w:eastAsia="仿宋" w:hAnsi="仿宋" w:cs="仿宋"/>
                <w:szCs w:val="21"/>
              </w:rPr>
              <w:t>31</w:t>
            </w:r>
            <w:r>
              <w:rPr>
                <w:rFonts w:ascii="仿宋" w:eastAsia="仿宋" w:hAnsi="仿宋" w:cs="仿宋"/>
                <w:szCs w:val="21"/>
              </w:rPr>
              <w:t>日新设的企业，</w:t>
            </w:r>
            <w:r w:rsidR="00F84C37">
              <w:rPr>
                <w:rFonts w:ascii="仿宋" w:eastAsia="仿宋" w:hAnsi="仿宋" w:cs="仿宋" w:hint="eastAsia"/>
                <w:szCs w:val="21"/>
              </w:rPr>
              <w:t>注册地址为</w:t>
            </w:r>
            <w:r w:rsidR="00F84C37" w:rsidRPr="00F84C37">
              <w:rPr>
                <w:rFonts w:ascii="仿宋" w:eastAsia="仿宋" w:hAnsi="仿宋" w:cs="仿宋" w:hint="eastAsia"/>
                <w:szCs w:val="21"/>
              </w:rPr>
              <w:t>浙江省杭州市钱塘新区白杨街道科技园路267号国际创博中心三层3070室</w:t>
            </w:r>
            <w:r w:rsidR="00F84C37">
              <w:rPr>
                <w:rFonts w:ascii="仿宋" w:eastAsia="仿宋" w:hAnsi="仿宋" w:cs="仿宋" w:hint="eastAsia"/>
                <w:szCs w:val="21"/>
              </w:rPr>
              <w:t>，</w:t>
            </w:r>
            <w:r>
              <w:rPr>
                <w:rFonts w:ascii="仿宋" w:eastAsia="仿宋" w:hAnsi="仿宋" w:cs="仿宋" w:hint="eastAsia"/>
                <w:szCs w:val="21"/>
              </w:rPr>
              <w:t>尚</w:t>
            </w:r>
            <w:r>
              <w:rPr>
                <w:rFonts w:ascii="仿宋" w:eastAsia="仿宋" w:hAnsi="仿宋" w:cs="仿宋"/>
                <w:szCs w:val="21"/>
              </w:rPr>
              <w:t>未实际开展经营</w:t>
            </w:r>
            <w:r>
              <w:rPr>
                <w:rFonts w:ascii="仿宋" w:eastAsia="仿宋" w:hAnsi="仿宋" w:cs="仿宋" w:hint="eastAsia"/>
                <w:szCs w:val="21"/>
              </w:rPr>
              <w:t>；</w:t>
            </w:r>
            <w:r>
              <w:rPr>
                <w:rFonts w:ascii="仿宋" w:eastAsia="仿宋" w:hAnsi="仿宋" w:cs="仿宋" w:hint="eastAsia"/>
                <w:szCs w:val="21"/>
              </w:rPr>
              <w:t>其</w:t>
            </w:r>
            <w:r>
              <w:rPr>
                <w:rFonts w:ascii="仿宋" w:eastAsia="仿宋" w:hAnsi="仿宋" w:cs="仿宋" w:hint="eastAsia"/>
                <w:szCs w:val="21"/>
              </w:rPr>
              <w:t>实际控制人为圣戈班管道的</w:t>
            </w:r>
            <w:r>
              <w:rPr>
                <w:rFonts w:ascii="仿宋" w:eastAsia="仿宋" w:hAnsi="仿宋" w:cs="仿宋" w:hint="eastAsia"/>
                <w:szCs w:val="21"/>
              </w:rPr>
              <w:t>6</w:t>
            </w:r>
            <w:r>
              <w:rPr>
                <w:rFonts w:ascii="仿宋" w:eastAsia="仿宋" w:hAnsi="仿宋" w:cs="仿宋" w:hint="eastAsia"/>
                <w:szCs w:val="21"/>
              </w:rPr>
              <w:t>位核心高管</w:t>
            </w:r>
            <w:r>
              <w:rPr>
                <w:rFonts w:ascii="仿宋" w:eastAsia="仿宋" w:hAnsi="仿宋" w:cs="仿宋" w:hint="eastAsia"/>
                <w:szCs w:val="21"/>
              </w:rPr>
              <w:t>，</w:t>
            </w:r>
            <w:r>
              <w:rPr>
                <w:rFonts w:ascii="仿宋" w:eastAsia="仿宋" w:hAnsi="仿宋" w:cs="仿宋" w:hint="eastAsia"/>
                <w:szCs w:val="21"/>
              </w:rPr>
              <w:t>实际控制人</w:t>
            </w:r>
            <w:r>
              <w:rPr>
                <w:rFonts w:ascii="仿宋" w:eastAsia="仿宋" w:hAnsi="仿宋" w:cs="仿宋" w:hint="eastAsia"/>
                <w:szCs w:val="21"/>
              </w:rPr>
              <w:t>所控制的相关主体亦尚</w:t>
            </w:r>
            <w:r>
              <w:rPr>
                <w:rFonts w:ascii="仿宋" w:eastAsia="仿宋" w:hAnsi="仿宋" w:cs="仿宋"/>
                <w:szCs w:val="21"/>
              </w:rPr>
              <w:t>未实际开展经营。</w:t>
            </w:r>
          </w:p>
          <w:p w14:paraId="6CD20E56" w14:textId="77777777" w:rsidR="00022444" w:rsidRDefault="008454D1">
            <w:pPr>
              <w:spacing w:line="360" w:lineRule="auto"/>
              <w:rPr>
                <w:rFonts w:ascii="仿宋" w:eastAsia="仿宋" w:hAnsi="仿宋" w:cs="仿宋"/>
                <w:szCs w:val="21"/>
              </w:rPr>
            </w:pPr>
            <w:r>
              <w:rPr>
                <w:rFonts w:ascii="仿宋" w:eastAsia="仿宋" w:hAnsi="仿宋" w:cs="仿宋"/>
                <w:szCs w:val="21"/>
              </w:rPr>
              <w:t>圣禹新材料</w:t>
            </w:r>
            <w:r>
              <w:rPr>
                <w:rFonts w:ascii="仿宋" w:eastAsia="仿宋" w:hAnsi="仿宋" w:cs="仿宋" w:hint="eastAsia"/>
                <w:szCs w:val="21"/>
              </w:rPr>
              <w:t>其他</w:t>
            </w:r>
            <w:r>
              <w:rPr>
                <w:rFonts w:ascii="仿宋" w:eastAsia="仿宋" w:hAnsi="仿宋" w:cs="仿宋" w:hint="eastAsia"/>
                <w:szCs w:val="21"/>
              </w:rPr>
              <w:t>外部投资者</w:t>
            </w:r>
            <w:r>
              <w:rPr>
                <w:rFonts w:ascii="仿宋" w:eastAsia="仿宋" w:hAnsi="仿宋" w:cs="仿宋" w:hint="eastAsia"/>
                <w:szCs w:val="21"/>
              </w:rPr>
              <w:t>的基本</w:t>
            </w:r>
            <w:r>
              <w:rPr>
                <w:rFonts w:ascii="仿宋" w:eastAsia="仿宋" w:hAnsi="仿宋" w:cs="仿宋" w:hint="eastAsia"/>
                <w:szCs w:val="21"/>
              </w:rPr>
              <w:t>情况如下</w:t>
            </w:r>
            <w:r>
              <w:rPr>
                <w:rFonts w:ascii="仿宋" w:eastAsia="仿宋" w:hAnsi="仿宋" w:cs="仿宋" w:hint="eastAsia"/>
                <w:szCs w:val="21"/>
              </w:rPr>
              <w:t>：</w:t>
            </w:r>
          </w:p>
          <w:p w14:paraId="517CE729" w14:textId="77777777" w:rsidR="00022444" w:rsidRDefault="008454D1">
            <w:pPr>
              <w:spacing w:line="360" w:lineRule="auto"/>
              <w:rPr>
                <w:rFonts w:ascii="仿宋" w:eastAsia="仿宋" w:hAnsi="仿宋" w:cs="仿宋"/>
                <w:szCs w:val="21"/>
              </w:rPr>
            </w:pPr>
            <w:r>
              <w:rPr>
                <w:rFonts w:ascii="仿宋" w:eastAsia="仿宋" w:hAnsi="仿宋" w:cs="仿宋" w:hint="eastAsia"/>
                <w:szCs w:val="21"/>
              </w:rPr>
              <w:t>①</w:t>
            </w:r>
            <w:r>
              <w:rPr>
                <w:rFonts w:ascii="仿宋" w:eastAsia="仿宋" w:hAnsi="仿宋" w:cs="仿宋" w:hint="eastAsia"/>
                <w:szCs w:val="21"/>
              </w:rPr>
              <w:t>浙江创新发展资本管理有限公司</w:t>
            </w:r>
            <w:r>
              <w:rPr>
                <w:rFonts w:ascii="仿宋" w:eastAsia="仿宋" w:hAnsi="仿宋" w:cs="仿宋" w:hint="eastAsia"/>
                <w:szCs w:val="21"/>
              </w:rPr>
              <w:t>系</w:t>
            </w:r>
            <w:r>
              <w:rPr>
                <w:rFonts w:ascii="仿宋" w:eastAsia="仿宋" w:hAnsi="仿宋" w:cs="仿宋" w:hint="eastAsia"/>
                <w:szCs w:val="21"/>
              </w:rPr>
              <w:t>专注于战略性新兴行业的基金管理公司</w:t>
            </w:r>
            <w:r>
              <w:rPr>
                <w:rFonts w:ascii="仿宋" w:eastAsia="仿宋" w:hAnsi="仿宋" w:cs="仿宋" w:hint="eastAsia"/>
                <w:szCs w:val="21"/>
              </w:rPr>
              <w:t>；</w:t>
            </w:r>
            <w:r>
              <w:rPr>
                <w:rFonts w:ascii="仿宋" w:eastAsia="仿宋" w:hAnsi="仿宋" w:cs="仿宋" w:hint="eastAsia"/>
                <w:szCs w:val="21"/>
              </w:rPr>
              <w:t>②</w:t>
            </w:r>
            <w:r>
              <w:rPr>
                <w:rFonts w:ascii="仿宋" w:eastAsia="仿宋" w:hAnsi="仿宋" w:cs="仿宋" w:hint="eastAsia"/>
                <w:szCs w:val="21"/>
              </w:rPr>
              <w:t>杭州热联集团股份有限公司</w:t>
            </w:r>
            <w:r>
              <w:rPr>
                <w:rFonts w:ascii="仿宋" w:eastAsia="仿宋" w:hAnsi="仿宋" w:cs="仿宋" w:hint="eastAsia"/>
                <w:szCs w:val="21"/>
              </w:rPr>
              <w:t>从事</w:t>
            </w:r>
            <w:r>
              <w:rPr>
                <w:rFonts w:ascii="仿宋" w:eastAsia="仿宋" w:hAnsi="仿宋" w:cs="仿宋" w:hint="eastAsia"/>
                <w:szCs w:val="21"/>
              </w:rPr>
              <w:t>国际、国内钢铁贸易黑色大宗商品及产业服务</w:t>
            </w:r>
            <w:r>
              <w:rPr>
                <w:rFonts w:ascii="仿宋" w:eastAsia="仿宋" w:hAnsi="仿宋" w:cs="仿宋" w:hint="eastAsia"/>
                <w:szCs w:val="21"/>
              </w:rPr>
              <w:t>；</w:t>
            </w:r>
            <w:r>
              <w:rPr>
                <w:rFonts w:ascii="仿宋" w:eastAsia="仿宋" w:hAnsi="仿宋" w:cs="仿宋" w:hint="eastAsia"/>
                <w:szCs w:val="21"/>
              </w:rPr>
              <w:t>③杭州汇实投资管理合伙企业（有限合伙）</w:t>
            </w:r>
            <w:r>
              <w:rPr>
                <w:rFonts w:ascii="仿宋" w:eastAsia="仿宋" w:hAnsi="仿宋" w:cs="仿宋" w:hint="eastAsia"/>
                <w:szCs w:val="21"/>
              </w:rPr>
              <w:t>系在中国证券投资基金业协会备案的股权投资基金，从事投资管理</w:t>
            </w:r>
            <w:r>
              <w:rPr>
                <w:rFonts w:ascii="仿宋" w:eastAsia="仿宋" w:hAnsi="仿宋" w:cs="仿宋" w:hint="eastAsia"/>
                <w:szCs w:val="21"/>
              </w:rPr>
              <w:t>、</w:t>
            </w:r>
            <w:r>
              <w:rPr>
                <w:rFonts w:ascii="仿宋" w:eastAsia="仿宋" w:hAnsi="仿宋" w:cs="仿宋" w:hint="eastAsia"/>
                <w:szCs w:val="21"/>
              </w:rPr>
              <w:t>非证券业务的投资咨询</w:t>
            </w:r>
            <w:r>
              <w:rPr>
                <w:rFonts w:ascii="仿宋" w:eastAsia="仿宋" w:hAnsi="仿宋" w:cs="仿宋" w:hint="eastAsia"/>
                <w:szCs w:val="21"/>
              </w:rPr>
              <w:t>；</w:t>
            </w:r>
            <w:r>
              <w:rPr>
                <w:rFonts w:ascii="仿宋" w:eastAsia="仿宋" w:hAnsi="仿宋" w:cs="仿宋" w:hint="eastAsia"/>
                <w:szCs w:val="21"/>
              </w:rPr>
              <w:t>④</w:t>
            </w:r>
            <w:r>
              <w:rPr>
                <w:rFonts w:ascii="仿宋" w:eastAsia="仿宋" w:hAnsi="仿宋" w:cs="仿宋" w:hint="eastAsia"/>
                <w:szCs w:val="21"/>
              </w:rPr>
              <w:t>浙江省发展资产经营有限公司</w:t>
            </w:r>
            <w:r>
              <w:rPr>
                <w:rFonts w:ascii="仿宋" w:eastAsia="仿宋" w:hAnsi="仿宋" w:cs="仿宋" w:hint="eastAsia"/>
                <w:szCs w:val="21"/>
              </w:rPr>
              <w:t>系浙江省国有资本运营有限公司</w:t>
            </w:r>
            <w:r>
              <w:rPr>
                <w:rFonts w:ascii="仿宋" w:eastAsia="仿宋" w:hAnsi="仿宋" w:cs="仿宋" w:hint="eastAsia"/>
                <w:szCs w:val="21"/>
              </w:rPr>
              <w:t>的投融资和资本运作平台</w:t>
            </w:r>
            <w:r>
              <w:rPr>
                <w:rFonts w:ascii="仿宋" w:eastAsia="仿宋" w:hAnsi="仿宋" w:cs="仿宋" w:hint="eastAsia"/>
                <w:szCs w:val="21"/>
              </w:rPr>
              <w:t>；</w:t>
            </w:r>
            <w:r>
              <w:rPr>
                <w:rFonts w:ascii="仿宋" w:eastAsia="仿宋" w:hAnsi="仿宋" w:cs="仿宋" w:hint="eastAsia"/>
                <w:szCs w:val="21"/>
              </w:rPr>
              <w:t>⑤</w:t>
            </w:r>
            <w:r>
              <w:rPr>
                <w:rFonts w:ascii="仿宋" w:eastAsia="仿宋" w:hAnsi="仿宋" w:cs="仿宋" w:hint="eastAsia"/>
                <w:szCs w:val="21"/>
              </w:rPr>
              <w:t>浙江丝路产业投资基金合伙企业（有限合伙）系在中国证券投资基金业协会备案的股权投资基金，从事股权投资管理</w:t>
            </w:r>
            <w:r>
              <w:rPr>
                <w:rFonts w:ascii="仿宋" w:eastAsia="仿宋" w:hAnsi="仿宋" w:cs="仿宋" w:hint="eastAsia"/>
                <w:szCs w:val="21"/>
              </w:rPr>
              <w:t>；</w:t>
            </w:r>
            <w:r>
              <w:rPr>
                <w:rFonts w:ascii="仿宋" w:eastAsia="仿宋" w:hAnsi="仿宋" w:cs="仿宋" w:hint="eastAsia"/>
                <w:szCs w:val="21"/>
              </w:rPr>
              <w:t>⑥</w:t>
            </w:r>
            <w:r>
              <w:rPr>
                <w:rFonts w:ascii="仿宋" w:eastAsia="仿宋" w:hAnsi="仿宋" w:cs="仿宋" w:hint="eastAsia"/>
                <w:szCs w:val="21"/>
              </w:rPr>
              <w:t>浙江钱塘江金研资产管理有限公司</w:t>
            </w:r>
            <w:r>
              <w:rPr>
                <w:rFonts w:ascii="仿宋" w:eastAsia="仿宋" w:hAnsi="仿宋" w:cs="仿宋" w:hint="eastAsia"/>
                <w:szCs w:val="21"/>
              </w:rPr>
              <w:t>从事</w:t>
            </w:r>
            <w:r>
              <w:rPr>
                <w:rFonts w:ascii="仿宋" w:eastAsia="仿宋" w:hAnsi="仿宋" w:cs="仿宋" w:hint="eastAsia"/>
                <w:szCs w:val="21"/>
              </w:rPr>
              <w:t>投资管理、股权投资、资产管理、投资咨询等金融服务</w:t>
            </w:r>
            <w:r>
              <w:rPr>
                <w:rFonts w:ascii="仿宋" w:eastAsia="仿宋" w:hAnsi="仿宋" w:cs="仿宋" w:hint="eastAsia"/>
                <w:szCs w:val="21"/>
              </w:rPr>
              <w:t>。</w:t>
            </w:r>
          </w:p>
        </w:tc>
      </w:tr>
      <w:tr w:rsidR="00022444" w14:paraId="17E3ADBE" w14:textId="77777777">
        <w:trPr>
          <w:trHeight w:val="404"/>
        </w:trPr>
        <w:tc>
          <w:tcPr>
            <w:tcW w:w="1809" w:type="dxa"/>
            <w:vMerge/>
            <w:tcBorders>
              <w:right w:val="single" w:sz="4" w:space="0" w:color="auto"/>
            </w:tcBorders>
            <w:shd w:val="clear" w:color="auto" w:fill="D9D9D9"/>
            <w:vAlign w:val="center"/>
          </w:tcPr>
          <w:p w14:paraId="501183EE" w14:textId="77777777" w:rsidR="00022444" w:rsidRDefault="00022444">
            <w:pPr>
              <w:spacing w:line="500" w:lineRule="exact"/>
              <w:rPr>
                <w:rFonts w:ascii="仿宋" w:eastAsia="仿宋" w:hAnsi="仿宋" w:cs="仿宋"/>
                <w:color w:val="333333"/>
                <w:kern w:val="0"/>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AFF233E" w14:textId="77777777" w:rsidR="00022444" w:rsidRDefault="008454D1">
            <w:pPr>
              <w:numPr>
                <w:ilvl w:val="0"/>
                <w:numId w:val="1"/>
              </w:numPr>
              <w:spacing w:line="360" w:lineRule="auto"/>
              <w:rPr>
                <w:rFonts w:ascii="仿宋" w:eastAsia="仿宋" w:hAnsi="仿宋" w:cs="仿宋"/>
                <w:szCs w:val="21"/>
              </w:rPr>
            </w:pPr>
            <w:r>
              <w:rPr>
                <w:rFonts w:ascii="仿宋" w:eastAsia="仿宋" w:hAnsi="仿宋" w:cs="仿宋" w:hint="eastAsia"/>
                <w:szCs w:val="21"/>
              </w:rPr>
              <w:t>圣戈班管道</w:t>
            </w:r>
          </w:p>
        </w:tc>
        <w:tc>
          <w:tcPr>
            <w:tcW w:w="5106" w:type="dxa"/>
            <w:tcBorders>
              <w:top w:val="single" w:sz="4" w:space="0" w:color="auto"/>
              <w:left w:val="single" w:sz="4" w:space="0" w:color="auto"/>
              <w:bottom w:val="single" w:sz="4" w:space="0" w:color="auto"/>
              <w:right w:val="single" w:sz="4" w:space="0" w:color="auto"/>
            </w:tcBorders>
            <w:vAlign w:val="center"/>
          </w:tcPr>
          <w:p w14:paraId="38F7DCF0" w14:textId="24CE0CAF" w:rsidR="00022444" w:rsidRDefault="00F84C37">
            <w:pPr>
              <w:spacing w:line="360" w:lineRule="auto"/>
              <w:rPr>
                <w:rFonts w:ascii="仿宋" w:eastAsia="仿宋" w:hAnsi="仿宋" w:cs="仿宋"/>
                <w:color w:val="333333"/>
                <w:kern w:val="0"/>
                <w:szCs w:val="21"/>
              </w:rPr>
            </w:pPr>
            <w:r>
              <w:rPr>
                <w:rFonts w:ascii="仿宋" w:eastAsia="仿宋" w:hAnsi="仿宋" w:cs="仿宋" w:hint="eastAsia"/>
                <w:szCs w:val="21"/>
              </w:rPr>
              <w:t>圣戈班管道</w:t>
            </w:r>
            <w:r>
              <w:rPr>
                <w:rFonts w:ascii="仿宋" w:eastAsia="仿宋" w:hAnsi="仿宋" w:cs="仿宋" w:hint="eastAsia"/>
                <w:szCs w:val="21"/>
              </w:rPr>
              <w:t>成立于</w:t>
            </w:r>
            <w:r w:rsidRPr="00F84C37">
              <w:rPr>
                <w:rFonts w:ascii="仿宋" w:eastAsia="仿宋" w:hAnsi="仿宋" w:cs="仿宋"/>
                <w:szCs w:val="21"/>
              </w:rPr>
              <w:t>1997</w:t>
            </w:r>
            <w:r>
              <w:rPr>
                <w:rFonts w:ascii="仿宋" w:eastAsia="仿宋" w:hAnsi="仿宋" w:cs="仿宋" w:hint="eastAsia"/>
                <w:szCs w:val="21"/>
              </w:rPr>
              <w:t>年</w:t>
            </w:r>
            <w:r w:rsidRPr="00F84C37">
              <w:rPr>
                <w:rFonts w:ascii="仿宋" w:eastAsia="仿宋" w:hAnsi="仿宋" w:cs="仿宋"/>
                <w:szCs w:val="21"/>
              </w:rPr>
              <w:t>12</w:t>
            </w:r>
            <w:r>
              <w:rPr>
                <w:rFonts w:ascii="仿宋" w:eastAsia="仿宋" w:hAnsi="仿宋" w:cs="仿宋" w:hint="eastAsia"/>
                <w:szCs w:val="21"/>
              </w:rPr>
              <w:t>月</w:t>
            </w:r>
            <w:r w:rsidRPr="00F84C37">
              <w:rPr>
                <w:rFonts w:ascii="仿宋" w:eastAsia="仿宋" w:hAnsi="仿宋" w:cs="仿宋"/>
                <w:szCs w:val="21"/>
              </w:rPr>
              <w:t>18</w:t>
            </w:r>
            <w:r>
              <w:rPr>
                <w:rFonts w:ascii="仿宋" w:eastAsia="仿宋" w:hAnsi="仿宋" w:cs="仿宋" w:hint="eastAsia"/>
                <w:szCs w:val="21"/>
              </w:rPr>
              <w:t>日，注册地址为</w:t>
            </w:r>
            <w:r w:rsidRPr="00F84C37">
              <w:rPr>
                <w:rFonts w:ascii="仿宋" w:eastAsia="仿宋" w:hAnsi="仿宋" w:cs="仿宋" w:hint="eastAsia"/>
                <w:szCs w:val="21"/>
              </w:rPr>
              <w:t>安徽省马鞍山市慈湖化工路</w:t>
            </w:r>
            <w:r>
              <w:rPr>
                <w:rFonts w:ascii="仿宋" w:eastAsia="仿宋" w:hAnsi="仿宋" w:cs="仿宋" w:hint="eastAsia"/>
                <w:szCs w:val="21"/>
              </w:rPr>
              <w:t>，主营业务为</w:t>
            </w:r>
            <w:r w:rsidR="008454D1">
              <w:rPr>
                <w:rFonts w:ascii="仿宋" w:eastAsia="仿宋" w:hAnsi="仿宋" w:cs="仿宋" w:hint="eastAsia"/>
                <w:szCs w:val="21"/>
              </w:rPr>
              <w:t>研发、生产、销售球墨铸铁管管道与管件。</w:t>
            </w:r>
          </w:p>
        </w:tc>
      </w:tr>
      <w:tr w:rsidR="00022444" w14:paraId="39427B60" w14:textId="77777777">
        <w:trPr>
          <w:trHeight w:val="279"/>
        </w:trPr>
        <w:tc>
          <w:tcPr>
            <w:tcW w:w="1809" w:type="dxa"/>
            <w:vMerge w:val="restart"/>
            <w:shd w:val="clear" w:color="auto" w:fill="D9D9D9"/>
            <w:vAlign w:val="center"/>
          </w:tcPr>
          <w:p w14:paraId="148D219A"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简易案件理由（可以单选，也可以多选）</w:t>
            </w:r>
          </w:p>
        </w:tc>
        <w:tc>
          <w:tcPr>
            <w:tcW w:w="6949" w:type="dxa"/>
            <w:gridSpan w:val="2"/>
            <w:tcBorders>
              <w:top w:val="single" w:sz="4" w:space="0" w:color="auto"/>
            </w:tcBorders>
            <w:vAlign w:val="center"/>
          </w:tcPr>
          <w:p w14:paraId="054EC0AE" w14:textId="77777777" w:rsidR="00022444" w:rsidRDefault="008454D1">
            <w:pPr>
              <w:spacing w:line="360" w:lineRule="auto"/>
              <w:rPr>
                <w:rFonts w:ascii="仿宋" w:eastAsia="仿宋" w:hAnsi="仿宋" w:cs="仿宋"/>
                <w:color w:val="333333"/>
                <w:kern w:val="0"/>
                <w:szCs w:val="21"/>
              </w:rPr>
            </w:pPr>
            <w:r>
              <w:rPr>
                <w:rFonts w:ascii="仿宋" w:eastAsia="仿宋" w:hAnsi="仿宋" w:cs="仿宋" w:hint="eastAsia"/>
                <w:color w:val="333333"/>
                <w:kern w:val="0"/>
                <w:szCs w:val="21"/>
              </w:rPr>
              <w:sym w:font="Wingdings 2" w:char="00A3"/>
            </w:r>
            <w:r>
              <w:rPr>
                <w:rFonts w:ascii="仿宋" w:eastAsia="仿宋" w:hAnsi="仿宋" w:cs="仿宋" w:hint="eastAsia"/>
                <w:color w:val="333333"/>
                <w:kern w:val="0"/>
                <w:szCs w:val="21"/>
              </w:rPr>
              <w:t>1.</w:t>
            </w:r>
            <w:r>
              <w:rPr>
                <w:rFonts w:ascii="仿宋" w:eastAsia="仿宋" w:hAnsi="仿宋" w:cs="仿宋" w:hint="eastAsia"/>
                <w:color w:val="333333"/>
                <w:kern w:val="0"/>
                <w:szCs w:val="21"/>
              </w:rPr>
              <w:t>在同一相关市场，所有参与集中的经营者所占市场份额之和小于</w:t>
            </w:r>
            <w:r>
              <w:rPr>
                <w:rFonts w:ascii="仿宋" w:eastAsia="仿宋" w:hAnsi="仿宋" w:cs="仿宋" w:hint="eastAsia"/>
                <w:color w:val="333333"/>
                <w:kern w:val="0"/>
                <w:szCs w:val="21"/>
              </w:rPr>
              <w:t>15%</w:t>
            </w:r>
            <w:r>
              <w:rPr>
                <w:rFonts w:ascii="仿宋" w:eastAsia="仿宋" w:hAnsi="仿宋" w:cs="仿宋" w:hint="eastAsia"/>
                <w:color w:val="333333"/>
                <w:kern w:val="0"/>
                <w:szCs w:val="21"/>
              </w:rPr>
              <w:t>。</w:t>
            </w:r>
          </w:p>
        </w:tc>
      </w:tr>
      <w:tr w:rsidR="00022444" w14:paraId="3EC00E6C" w14:textId="77777777">
        <w:trPr>
          <w:trHeight w:val="330"/>
        </w:trPr>
        <w:tc>
          <w:tcPr>
            <w:tcW w:w="1809" w:type="dxa"/>
            <w:vMerge/>
            <w:shd w:val="clear" w:color="auto" w:fill="D9D9D9"/>
            <w:vAlign w:val="center"/>
          </w:tcPr>
          <w:p w14:paraId="4683D323" w14:textId="77777777" w:rsidR="00022444" w:rsidRDefault="00022444">
            <w:pPr>
              <w:spacing w:line="500" w:lineRule="exact"/>
              <w:rPr>
                <w:rFonts w:ascii="仿宋" w:eastAsia="仿宋" w:hAnsi="仿宋" w:cs="仿宋"/>
                <w:color w:val="333333"/>
                <w:kern w:val="0"/>
                <w:szCs w:val="21"/>
              </w:rPr>
            </w:pPr>
          </w:p>
        </w:tc>
        <w:tc>
          <w:tcPr>
            <w:tcW w:w="6949" w:type="dxa"/>
            <w:gridSpan w:val="2"/>
            <w:vAlign w:val="center"/>
          </w:tcPr>
          <w:p w14:paraId="4A47C792" w14:textId="77777777" w:rsidR="00022444" w:rsidRDefault="008454D1">
            <w:pPr>
              <w:spacing w:line="360" w:lineRule="auto"/>
              <w:rPr>
                <w:rFonts w:ascii="仿宋" w:eastAsia="仿宋" w:hAnsi="仿宋" w:cs="仿宋"/>
                <w:color w:val="333333"/>
                <w:kern w:val="0"/>
                <w:szCs w:val="21"/>
              </w:rPr>
            </w:pPr>
            <w:r>
              <w:rPr>
                <w:rFonts w:ascii="仿宋" w:eastAsia="仿宋" w:hAnsi="仿宋" w:cs="仿宋" w:hint="eastAsia"/>
                <w:color w:val="333333"/>
                <w:kern w:val="0"/>
                <w:szCs w:val="21"/>
              </w:rPr>
              <w:t>□</w:t>
            </w:r>
            <w:r>
              <w:rPr>
                <w:rFonts w:ascii="仿宋" w:eastAsia="仿宋" w:hAnsi="仿宋" w:cs="仿宋" w:hint="eastAsia"/>
                <w:color w:val="333333"/>
                <w:kern w:val="0"/>
                <w:szCs w:val="21"/>
              </w:rPr>
              <w:t>2.</w:t>
            </w:r>
            <w:r>
              <w:rPr>
                <w:rFonts w:ascii="仿宋" w:eastAsia="仿宋" w:hAnsi="仿宋" w:cs="仿宋" w:hint="eastAsia"/>
                <w:color w:val="333333"/>
                <w:kern w:val="0"/>
                <w:szCs w:val="21"/>
              </w:rPr>
              <w:t>存在上下游关系的参与集中的经营者，在上下游市场所占的市场份额均小于</w:t>
            </w:r>
            <w:r>
              <w:rPr>
                <w:rFonts w:ascii="仿宋" w:eastAsia="仿宋" w:hAnsi="仿宋" w:cs="仿宋" w:hint="eastAsia"/>
                <w:color w:val="333333"/>
                <w:kern w:val="0"/>
                <w:szCs w:val="21"/>
              </w:rPr>
              <w:t>25%</w:t>
            </w:r>
            <w:r>
              <w:rPr>
                <w:rFonts w:ascii="仿宋" w:eastAsia="仿宋" w:hAnsi="仿宋" w:cs="仿宋" w:hint="eastAsia"/>
                <w:color w:val="333333"/>
                <w:kern w:val="0"/>
                <w:szCs w:val="21"/>
              </w:rPr>
              <w:t>。</w:t>
            </w:r>
          </w:p>
        </w:tc>
      </w:tr>
      <w:tr w:rsidR="00022444" w14:paraId="70F3D81B" w14:textId="77777777">
        <w:trPr>
          <w:trHeight w:val="285"/>
        </w:trPr>
        <w:tc>
          <w:tcPr>
            <w:tcW w:w="1809" w:type="dxa"/>
            <w:vMerge/>
            <w:shd w:val="clear" w:color="auto" w:fill="D9D9D9"/>
            <w:vAlign w:val="center"/>
          </w:tcPr>
          <w:p w14:paraId="68F60BAA" w14:textId="77777777" w:rsidR="00022444" w:rsidRDefault="00022444">
            <w:pPr>
              <w:spacing w:line="500" w:lineRule="exact"/>
              <w:rPr>
                <w:rFonts w:ascii="仿宋" w:eastAsia="仿宋" w:hAnsi="仿宋" w:cs="仿宋"/>
                <w:color w:val="333333"/>
                <w:kern w:val="0"/>
                <w:szCs w:val="21"/>
              </w:rPr>
            </w:pPr>
          </w:p>
        </w:tc>
        <w:tc>
          <w:tcPr>
            <w:tcW w:w="6949" w:type="dxa"/>
            <w:gridSpan w:val="2"/>
            <w:vAlign w:val="center"/>
          </w:tcPr>
          <w:p w14:paraId="422A6F12" w14:textId="77777777" w:rsidR="00022444" w:rsidRDefault="008454D1">
            <w:pPr>
              <w:spacing w:line="360" w:lineRule="auto"/>
              <w:rPr>
                <w:rFonts w:ascii="仿宋" w:eastAsia="仿宋" w:hAnsi="仿宋" w:cs="仿宋"/>
                <w:color w:val="333333"/>
                <w:kern w:val="0"/>
                <w:szCs w:val="21"/>
              </w:rPr>
            </w:pPr>
            <w:r>
              <w:rPr>
                <w:rFonts w:ascii="仿宋" w:eastAsia="仿宋" w:hAnsi="仿宋" w:cs="仿宋" w:hint="eastAsia"/>
                <w:color w:val="333333"/>
                <w:kern w:val="0"/>
                <w:szCs w:val="21"/>
              </w:rPr>
              <w:sym w:font="Wingdings 2" w:char="0052"/>
            </w:r>
            <w:r>
              <w:rPr>
                <w:rFonts w:ascii="仿宋" w:eastAsia="仿宋" w:hAnsi="仿宋" w:cs="仿宋" w:hint="eastAsia"/>
                <w:color w:val="333333"/>
                <w:kern w:val="0"/>
                <w:szCs w:val="21"/>
              </w:rPr>
              <w:t>3.</w:t>
            </w:r>
            <w:r>
              <w:rPr>
                <w:rFonts w:ascii="仿宋" w:eastAsia="仿宋" w:hAnsi="仿宋" w:cs="仿宋" w:hint="eastAsia"/>
                <w:color w:val="333333"/>
                <w:kern w:val="0"/>
                <w:szCs w:val="21"/>
              </w:rPr>
              <w:t>不在同一相关市场、也不存在上下游关系的参与集中的经营者，在与交易有关的每个市场所占的份额均小于</w:t>
            </w:r>
            <w:r>
              <w:rPr>
                <w:rFonts w:ascii="仿宋" w:eastAsia="仿宋" w:hAnsi="仿宋" w:cs="仿宋" w:hint="eastAsia"/>
                <w:color w:val="333333"/>
                <w:kern w:val="0"/>
                <w:szCs w:val="21"/>
              </w:rPr>
              <w:t>25%</w:t>
            </w:r>
            <w:r>
              <w:rPr>
                <w:rFonts w:ascii="仿宋" w:eastAsia="仿宋" w:hAnsi="仿宋" w:cs="仿宋" w:hint="eastAsia"/>
                <w:color w:val="333333"/>
                <w:kern w:val="0"/>
                <w:szCs w:val="21"/>
              </w:rPr>
              <w:t>。</w:t>
            </w:r>
          </w:p>
        </w:tc>
      </w:tr>
      <w:tr w:rsidR="00022444" w14:paraId="7A7FDCB2" w14:textId="77777777">
        <w:trPr>
          <w:trHeight w:val="870"/>
        </w:trPr>
        <w:tc>
          <w:tcPr>
            <w:tcW w:w="1809" w:type="dxa"/>
            <w:vMerge/>
            <w:shd w:val="clear" w:color="auto" w:fill="D9D9D9"/>
            <w:vAlign w:val="center"/>
          </w:tcPr>
          <w:p w14:paraId="55B68A74" w14:textId="77777777" w:rsidR="00022444" w:rsidRDefault="00022444">
            <w:pPr>
              <w:spacing w:line="500" w:lineRule="exact"/>
              <w:rPr>
                <w:rFonts w:ascii="仿宋" w:eastAsia="仿宋" w:hAnsi="仿宋" w:cs="仿宋"/>
                <w:color w:val="333333"/>
                <w:kern w:val="0"/>
                <w:szCs w:val="21"/>
              </w:rPr>
            </w:pPr>
          </w:p>
        </w:tc>
        <w:tc>
          <w:tcPr>
            <w:tcW w:w="6949" w:type="dxa"/>
            <w:gridSpan w:val="2"/>
            <w:vAlign w:val="center"/>
          </w:tcPr>
          <w:p w14:paraId="56EA6DB7" w14:textId="77777777" w:rsidR="00022444" w:rsidRDefault="008454D1">
            <w:pPr>
              <w:spacing w:line="360" w:lineRule="auto"/>
              <w:rPr>
                <w:rFonts w:ascii="仿宋" w:eastAsia="仿宋" w:hAnsi="仿宋" w:cs="仿宋"/>
                <w:color w:val="333333"/>
                <w:kern w:val="0"/>
                <w:szCs w:val="21"/>
              </w:rPr>
            </w:pPr>
            <w:r>
              <w:rPr>
                <w:rFonts w:ascii="仿宋" w:eastAsia="仿宋" w:hAnsi="仿宋" w:cs="仿宋" w:hint="eastAsia"/>
                <w:color w:val="333333"/>
                <w:kern w:val="0"/>
                <w:szCs w:val="21"/>
              </w:rPr>
              <w:t>□</w:t>
            </w:r>
            <w:r>
              <w:rPr>
                <w:rFonts w:ascii="仿宋" w:eastAsia="仿宋" w:hAnsi="仿宋" w:cs="仿宋" w:hint="eastAsia"/>
                <w:color w:val="333333"/>
                <w:kern w:val="0"/>
                <w:szCs w:val="21"/>
              </w:rPr>
              <w:t>4.</w:t>
            </w:r>
            <w:r>
              <w:rPr>
                <w:rFonts w:ascii="仿宋" w:eastAsia="仿宋" w:hAnsi="仿宋" w:cs="仿宋" w:hint="eastAsia"/>
                <w:color w:val="333333"/>
                <w:kern w:val="0"/>
                <w:szCs w:val="21"/>
              </w:rPr>
              <w:t>参与集中的经营者在中国境外设立合营企业，合营企业不在中国境内从事经济活动。</w:t>
            </w:r>
          </w:p>
        </w:tc>
      </w:tr>
      <w:tr w:rsidR="00022444" w14:paraId="164E90FA" w14:textId="77777777">
        <w:trPr>
          <w:trHeight w:val="264"/>
        </w:trPr>
        <w:tc>
          <w:tcPr>
            <w:tcW w:w="1809" w:type="dxa"/>
            <w:vMerge/>
            <w:shd w:val="clear" w:color="auto" w:fill="D9D9D9"/>
            <w:vAlign w:val="center"/>
          </w:tcPr>
          <w:p w14:paraId="164282FD" w14:textId="77777777" w:rsidR="00022444" w:rsidRDefault="00022444">
            <w:pPr>
              <w:spacing w:line="500" w:lineRule="exact"/>
              <w:rPr>
                <w:rFonts w:ascii="仿宋" w:eastAsia="仿宋" w:hAnsi="仿宋" w:cs="仿宋"/>
                <w:color w:val="333333"/>
                <w:kern w:val="0"/>
                <w:szCs w:val="21"/>
              </w:rPr>
            </w:pPr>
          </w:p>
        </w:tc>
        <w:tc>
          <w:tcPr>
            <w:tcW w:w="6949" w:type="dxa"/>
            <w:gridSpan w:val="2"/>
            <w:vAlign w:val="center"/>
          </w:tcPr>
          <w:p w14:paraId="10A7F429" w14:textId="77777777" w:rsidR="00022444" w:rsidRDefault="008454D1">
            <w:pPr>
              <w:spacing w:line="360" w:lineRule="auto"/>
              <w:rPr>
                <w:rFonts w:ascii="仿宋" w:eastAsia="仿宋" w:hAnsi="仿宋" w:cs="仿宋"/>
                <w:color w:val="333333"/>
                <w:kern w:val="0"/>
                <w:szCs w:val="21"/>
              </w:rPr>
            </w:pPr>
            <w:r>
              <w:rPr>
                <w:rFonts w:ascii="仿宋" w:eastAsia="仿宋" w:hAnsi="仿宋" w:cs="仿宋" w:hint="eastAsia"/>
                <w:color w:val="333333"/>
                <w:kern w:val="0"/>
                <w:szCs w:val="21"/>
              </w:rPr>
              <w:t>□</w:t>
            </w:r>
            <w:r>
              <w:rPr>
                <w:rFonts w:ascii="仿宋" w:eastAsia="仿宋" w:hAnsi="仿宋" w:cs="仿宋" w:hint="eastAsia"/>
                <w:color w:val="333333"/>
                <w:kern w:val="0"/>
                <w:szCs w:val="21"/>
              </w:rPr>
              <w:t>5.</w:t>
            </w:r>
            <w:r>
              <w:rPr>
                <w:rFonts w:ascii="仿宋" w:eastAsia="仿宋" w:hAnsi="仿宋" w:cs="仿宋" w:hint="eastAsia"/>
                <w:color w:val="333333"/>
                <w:kern w:val="0"/>
                <w:szCs w:val="21"/>
              </w:rPr>
              <w:t>参与集中的经营者收购境外企业股权或资产的，该境外企业不在中国境内从事经济活动。</w:t>
            </w:r>
          </w:p>
        </w:tc>
      </w:tr>
      <w:tr w:rsidR="00022444" w14:paraId="18270938" w14:textId="77777777">
        <w:trPr>
          <w:trHeight w:val="345"/>
        </w:trPr>
        <w:tc>
          <w:tcPr>
            <w:tcW w:w="1809" w:type="dxa"/>
            <w:vMerge/>
            <w:shd w:val="clear" w:color="auto" w:fill="D9D9D9"/>
            <w:vAlign w:val="center"/>
          </w:tcPr>
          <w:p w14:paraId="5F1C969E" w14:textId="77777777" w:rsidR="00022444" w:rsidRDefault="00022444">
            <w:pPr>
              <w:spacing w:line="500" w:lineRule="exact"/>
              <w:rPr>
                <w:rFonts w:ascii="仿宋" w:eastAsia="仿宋" w:hAnsi="仿宋" w:cs="仿宋"/>
                <w:color w:val="333333"/>
                <w:kern w:val="0"/>
                <w:szCs w:val="21"/>
              </w:rPr>
            </w:pPr>
          </w:p>
        </w:tc>
        <w:tc>
          <w:tcPr>
            <w:tcW w:w="6949" w:type="dxa"/>
            <w:gridSpan w:val="2"/>
            <w:vAlign w:val="center"/>
          </w:tcPr>
          <w:p w14:paraId="66CB1665" w14:textId="77777777" w:rsidR="00022444" w:rsidRDefault="008454D1">
            <w:pPr>
              <w:spacing w:line="360" w:lineRule="auto"/>
              <w:rPr>
                <w:rFonts w:ascii="仿宋" w:eastAsia="仿宋" w:hAnsi="仿宋" w:cs="仿宋"/>
                <w:color w:val="333333"/>
                <w:kern w:val="0"/>
                <w:szCs w:val="21"/>
              </w:rPr>
            </w:pPr>
            <w:r>
              <w:rPr>
                <w:rFonts w:ascii="仿宋" w:eastAsia="仿宋" w:hAnsi="仿宋" w:cs="仿宋" w:hint="eastAsia"/>
                <w:color w:val="333333"/>
                <w:kern w:val="0"/>
                <w:szCs w:val="21"/>
              </w:rPr>
              <w:t>□</w:t>
            </w:r>
            <w:r>
              <w:rPr>
                <w:rFonts w:ascii="仿宋" w:eastAsia="仿宋" w:hAnsi="仿宋" w:cs="仿宋" w:hint="eastAsia"/>
                <w:color w:val="333333"/>
                <w:kern w:val="0"/>
                <w:szCs w:val="21"/>
              </w:rPr>
              <w:t>6.</w:t>
            </w:r>
            <w:r>
              <w:rPr>
                <w:rFonts w:ascii="仿宋" w:eastAsia="仿宋" w:hAnsi="仿宋" w:cs="仿宋" w:hint="eastAsia"/>
                <w:color w:val="333333"/>
                <w:kern w:val="0"/>
                <w:szCs w:val="21"/>
              </w:rPr>
              <w:t>由两个以上的经营者共同控制的合营企业，通过集中被其中一个或一个以上经营者控制。</w:t>
            </w:r>
          </w:p>
        </w:tc>
      </w:tr>
      <w:tr w:rsidR="00022444" w14:paraId="1828FE93" w14:textId="77777777">
        <w:tc>
          <w:tcPr>
            <w:tcW w:w="1809" w:type="dxa"/>
            <w:shd w:val="clear" w:color="auto" w:fill="D9D9D9"/>
            <w:vAlign w:val="center"/>
          </w:tcPr>
          <w:p w14:paraId="2C996BBB" w14:textId="77777777" w:rsidR="00022444" w:rsidRDefault="008454D1">
            <w:pPr>
              <w:spacing w:line="500" w:lineRule="exact"/>
              <w:rPr>
                <w:rFonts w:ascii="仿宋" w:eastAsia="仿宋" w:hAnsi="仿宋" w:cs="仿宋"/>
                <w:color w:val="333333"/>
                <w:kern w:val="0"/>
                <w:szCs w:val="21"/>
              </w:rPr>
            </w:pPr>
            <w:r>
              <w:rPr>
                <w:rFonts w:ascii="仿宋" w:eastAsia="仿宋" w:hAnsi="仿宋" w:cs="仿宋" w:hint="eastAsia"/>
                <w:color w:val="333333"/>
                <w:kern w:val="0"/>
                <w:szCs w:val="21"/>
              </w:rPr>
              <w:t>备注</w:t>
            </w:r>
          </w:p>
        </w:tc>
        <w:tc>
          <w:tcPr>
            <w:tcW w:w="6949" w:type="dxa"/>
            <w:gridSpan w:val="2"/>
            <w:vAlign w:val="center"/>
          </w:tcPr>
          <w:p w14:paraId="14C6BC3A" w14:textId="77777777" w:rsidR="00022444" w:rsidRDefault="008454D1">
            <w:pPr>
              <w:spacing w:line="360" w:lineRule="auto"/>
              <w:rPr>
                <w:rFonts w:ascii="仿宋" w:eastAsia="仿宋" w:hAnsi="仿宋" w:cs="仿宋"/>
                <w:szCs w:val="21"/>
              </w:rPr>
            </w:pPr>
            <w:r>
              <w:rPr>
                <w:rFonts w:ascii="仿宋" w:eastAsia="仿宋" w:hAnsi="仿宋" w:cs="仿宋" w:hint="eastAsia"/>
                <w:szCs w:val="21"/>
              </w:rPr>
              <w:t>相关产品市场：球墨铸铁管市场</w:t>
            </w:r>
          </w:p>
          <w:p w14:paraId="272FC800" w14:textId="77777777" w:rsidR="00022444" w:rsidRDefault="008454D1">
            <w:pPr>
              <w:spacing w:line="360" w:lineRule="auto"/>
              <w:rPr>
                <w:rFonts w:ascii="仿宋" w:eastAsia="仿宋" w:hAnsi="仿宋" w:cs="仿宋"/>
                <w:szCs w:val="21"/>
              </w:rPr>
            </w:pPr>
            <w:r>
              <w:rPr>
                <w:rFonts w:ascii="仿宋" w:eastAsia="仿宋" w:hAnsi="仿宋" w:cs="仿宋" w:hint="eastAsia"/>
                <w:szCs w:val="21"/>
              </w:rPr>
              <w:t>相关地域市场：中国</w:t>
            </w:r>
          </w:p>
          <w:p w14:paraId="6F18740D" w14:textId="77777777" w:rsidR="00022444" w:rsidRDefault="008454D1">
            <w:pPr>
              <w:spacing w:line="360" w:lineRule="auto"/>
              <w:rPr>
                <w:rFonts w:ascii="仿宋" w:eastAsia="仿宋" w:hAnsi="仿宋" w:cs="仿宋"/>
                <w:szCs w:val="21"/>
              </w:rPr>
            </w:pPr>
            <w:r>
              <w:rPr>
                <w:rFonts w:ascii="仿宋" w:eastAsia="仿宋" w:hAnsi="仿宋" w:cs="仿宋" w:hint="eastAsia"/>
                <w:szCs w:val="21"/>
              </w:rPr>
              <w:t>市场份额：圣戈班管道：</w:t>
            </w:r>
            <w:r>
              <w:rPr>
                <w:rFonts w:ascii="仿宋" w:eastAsia="仿宋" w:hAnsi="仿宋" w:cs="仿宋" w:hint="eastAsia"/>
                <w:szCs w:val="21"/>
              </w:rPr>
              <w:t>[5%-10%]</w:t>
            </w:r>
          </w:p>
        </w:tc>
      </w:tr>
    </w:tbl>
    <w:p w14:paraId="77BB1DF2" w14:textId="77777777" w:rsidR="00022444" w:rsidRDefault="00022444">
      <w:pPr>
        <w:snapToGrid w:val="0"/>
        <w:spacing w:line="240" w:lineRule="exact"/>
        <w:jc w:val="left"/>
        <w:rPr>
          <w:rFonts w:ascii="楷体_GB2312" w:eastAsia="楷体_GB2312" w:hAnsi="宋体"/>
          <w:sz w:val="24"/>
          <w:szCs w:val="24"/>
        </w:rPr>
      </w:pPr>
    </w:p>
    <w:p w14:paraId="6078D73B" w14:textId="77777777" w:rsidR="00022444" w:rsidRDefault="008454D1">
      <w:pPr>
        <w:rPr>
          <w:rFonts w:ascii="方正仿宋_GBK" w:eastAsia="方正仿宋_GBK" w:hAnsi="宋体"/>
          <w:sz w:val="24"/>
          <w:szCs w:val="24"/>
        </w:rPr>
      </w:pPr>
      <w:r>
        <w:rPr>
          <w:rFonts w:ascii="方正仿宋_GBK" w:eastAsia="方正仿宋_GBK" w:hAnsi="宋体" w:hint="eastAsia"/>
          <w:sz w:val="24"/>
          <w:szCs w:val="24"/>
        </w:rPr>
        <w:br w:type="page"/>
      </w:r>
    </w:p>
    <w:p w14:paraId="16E5D844" w14:textId="77777777" w:rsidR="00022444" w:rsidRDefault="008454D1">
      <w:pPr>
        <w:snapToGrid w:val="0"/>
        <w:spacing w:line="240" w:lineRule="exact"/>
        <w:jc w:val="left"/>
        <w:rPr>
          <w:rFonts w:ascii="方正仿宋_GBK" w:eastAsia="方正仿宋_GBK" w:hAnsi="宋体"/>
          <w:sz w:val="24"/>
          <w:szCs w:val="24"/>
        </w:rPr>
      </w:pPr>
      <w:r>
        <w:rPr>
          <w:rFonts w:ascii="方正仿宋_GBK" w:eastAsia="方正仿宋_GBK" w:hAnsi="宋体" w:hint="eastAsia"/>
          <w:sz w:val="24"/>
          <w:szCs w:val="24"/>
        </w:rPr>
        <w:lastRenderedPageBreak/>
        <w:t>注解：</w:t>
      </w:r>
    </w:p>
    <w:p w14:paraId="0AA6566A" w14:textId="77777777" w:rsidR="00022444" w:rsidRDefault="00022444">
      <w:pPr>
        <w:snapToGrid w:val="0"/>
        <w:spacing w:line="240" w:lineRule="exact"/>
        <w:jc w:val="left"/>
        <w:rPr>
          <w:rFonts w:ascii="方正仿宋_GBK" w:eastAsia="方正仿宋_GBK" w:hAnsi="宋体"/>
          <w:sz w:val="24"/>
          <w:szCs w:val="24"/>
        </w:rPr>
      </w:pPr>
    </w:p>
    <w:p w14:paraId="2A4DCC58" w14:textId="77777777" w:rsidR="00022444" w:rsidRDefault="008454D1">
      <w:pPr>
        <w:snapToGrid w:val="0"/>
        <w:spacing w:line="360" w:lineRule="auto"/>
        <w:ind w:firstLineChars="200" w:firstLine="480"/>
        <w:jc w:val="left"/>
        <w:rPr>
          <w:rFonts w:ascii="方正仿宋_GBK" w:eastAsia="方正仿宋_GBK" w:hAnsi="宋体"/>
          <w:sz w:val="24"/>
          <w:szCs w:val="24"/>
        </w:rPr>
      </w:pPr>
      <w:r>
        <w:rPr>
          <w:rFonts w:ascii="方正仿宋_GBK" w:eastAsia="方正仿宋_GBK" w:hAnsi="宋体" w:hint="eastAsia"/>
          <w:sz w:val="24"/>
          <w:szCs w:val="24"/>
        </w:rPr>
        <w:t>1.</w:t>
      </w:r>
      <w:r>
        <w:rPr>
          <w:rFonts w:ascii="方正仿宋_GBK" w:eastAsia="方正仿宋_GBK" w:hAnsi="宋体" w:hint="eastAsia"/>
          <w:sz w:val="24"/>
          <w:szCs w:val="24"/>
        </w:rPr>
        <w:t>申报方申请简易案件的理由是基于</w:t>
      </w:r>
      <w:r>
        <w:rPr>
          <w:rFonts w:ascii="方正仿宋_GBK" w:eastAsia="方正仿宋_GBK" w:hAnsi="宋体" w:hint="eastAsia"/>
          <w:sz w:val="24"/>
          <w:szCs w:val="24"/>
        </w:rPr>
        <w:t>1-3</w:t>
      </w:r>
      <w:r>
        <w:rPr>
          <w:rFonts w:ascii="方正仿宋_GBK" w:eastAsia="方正仿宋_GBK" w:hAnsi="宋体" w:hint="eastAsia"/>
          <w:sz w:val="24"/>
          <w:szCs w:val="24"/>
        </w:rPr>
        <w:t>项时，须在备注中说明界定的相关商品市场和相关地域市场（无须阐述界定理由），以及相关市场份额；市场份额可以区间形式提供，区间幅度不应超过</w:t>
      </w:r>
      <w:r>
        <w:rPr>
          <w:rFonts w:ascii="方正仿宋_GBK" w:eastAsia="方正仿宋_GBK" w:hAnsi="宋体" w:hint="eastAsia"/>
          <w:sz w:val="24"/>
          <w:szCs w:val="24"/>
        </w:rPr>
        <w:t>5%</w:t>
      </w:r>
      <w:r>
        <w:rPr>
          <w:rFonts w:ascii="方正仿宋_GBK" w:eastAsia="方正仿宋_GBK" w:hAnsi="宋体" w:hint="eastAsia"/>
          <w:sz w:val="24"/>
          <w:szCs w:val="24"/>
        </w:rPr>
        <w:t>。</w:t>
      </w:r>
      <w:r>
        <w:rPr>
          <w:rFonts w:ascii="方正仿宋_GBK" w:eastAsia="方正仿宋_GBK" w:hAnsi="宋体" w:hint="eastAsia"/>
          <w:sz w:val="24"/>
          <w:szCs w:val="24"/>
        </w:rPr>
        <w:t>1-3</w:t>
      </w:r>
      <w:r>
        <w:rPr>
          <w:rFonts w:ascii="方正仿宋_GBK" w:eastAsia="方正仿宋_GBK" w:hAnsi="宋体" w:hint="eastAsia"/>
          <w:sz w:val="24"/>
          <w:szCs w:val="24"/>
        </w:rPr>
        <w:t>项可以多选，也可单选；没有勾选的，视为本集中不涉及该类型交易。</w:t>
      </w:r>
    </w:p>
    <w:p w14:paraId="05A5096A" w14:textId="77777777" w:rsidR="00022444" w:rsidRDefault="008454D1">
      <w:pPr>
        <w:spacing w:line="360" w:lineRule="auto"/>
        <w:ind w:firstLineChars="200" w:firstLine="480"/>
        <w:rPr>
          <w:rFonts w:ascii="方正仿宋_GBK" w:eastAsia="方正仿宋_GBK" w:hAnsi="Times New Roman"/>
          <w:sz w:val="28"/>
          <w:szCs w:val="28"/>
        </w:rPr>
      </w:pPr>
      <w:r>
        <w:rPr>
          <w:rFonts w:ascii="方正仿宋_GBK" w:eastAsia="方正仿宋_GBK" w:hAnsi="宋体" w:hint="eastAsia"/>
          <w:sz w:val="24"/>
          <w:szCs w:val="24"/>
        </w:rPr>
        <w:t>2.</w:t>
      </w:r>
      <w:r>
        <w:rPr>
          <w:rFonts w:ascii="方正仿宋_GBK" w:eastAsia="方正仿宋_GBK" w:hAnsi="宋体" w:hint="eastAsia"/>
          <w:sz w:val="24"/>
          <w:szCs w:val="24"/>
        </w:rPr>
        <w:t>申报方申请简易案件的理由是基于第</w:t>
      </w:r>
      <w:r>
        <w:rPr>
          <w:rFonts w:ascii="方正仿宋_GBK" w:eastAsia="方正仿宋_GBK" w:hAnsi="宋体" w:hint="eastAsia"/>
          <w:sz w:val="24"/>
          <w:szCs w:val="24"/>
        </w:rPr>
        <w:t>4</w:t>
      </w:r>
      <w:r>
        <w:rPr>
          <w:rFonts w:ascii="方正仿宋_GBK" w:eastAsia="方正仿宋_GBK" w:hAnsi="宋体" w:hint="eastAsia"/>
          <w:sz w:val="24"/>
          <w:szCs w:val="24"/>
        </w:rPr>
        <w:t>项、第</w:t>
      </w:r>
      <w:r>
        <w:rPr>
          <w:rFonts w:ascii="方正仿宋_GBK" w:eastAsia="方正仿宋_GBK" w:hAnsi="宋体" w:hint="eastAsia"/>
          <w:sz w:val="24"/>
          <w:szCs w:val="24"/>
        </w:rPr>
        <w:t>5</w:t>
      </w:r>
      <w:r>
        <w:rPr>
          <w:rFonts w:ascii="方正仿宋_GBK" w:eastAsia="方正仿宋_GBK" w:hAnsi="宋体" w:hint="eastAsia"/>
          <w:sz w:val="24"/>
          <w:szCs w:val="24"/>
        </w:rPr>
        <w:t>项时，无须在备注中说明相关市场和市场份额。</w:t>
      </w:r>
      <w:r>
        <w:rPr>
          <w:rFonts w:ascii="方正仿宋_GBK" w:eastAsia="方正仿宋_GBK" w:hAnsi="宋体" w:hint="eastAsia"/>
          <w:sz w:val="24"/>
          <w:szCs w:val="24"/>
        </w:rPr>
        <w:br/>
      </w:r>
      <w:r>
        <w:rPr>
          <w:rFonts w:ascii="方正仿宋_GBK" w:eastAsia="方正仿宋_GBK" w:hAnsi="宋体" w:hint="eastAsia"/>
          <w:sz w:val="24"/>
          <w:szCs w:val="24"/>
        </w:rPr>
        <w:t xml:space="preserve">    3.</w:t>
      </w:r>
      <w:r>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Pr>
          <w:rFonts w:ascii="方正仿宋_GBK" w:eastAsia="方正仿宋_GBK" w:hAnsi="宋体" w:hint="eastAsia"/>
          <w:sz w:val="24"/>
          <w:szCs w:val="24"/>
        </w:rPr>
        <w:t>1</w:t>
      </w:r>
      <w:r>
        <w:rPr>
          <w:rFonts w:ascii="方正仿宋_GBK" w:eastAsia="方正仿宋_GBK" w:hAnsi="宋体" w:hint="eastAsia"/>
          <w:sz w:val="24"/>
          <w:szCs w:val="24"/>
        </w:rPr>
        <w:t>项和第</w:t>
      </w:r>
      <w:r>
        <w:rPr>
          <w:rFonts w:ascii="方正仿宋_GBK" w:eastAsia="方正仿宋_GBK" w:hAnsi="宋体" w:hint="eastAsia"/>
          <w:sz w:val="24"/>
          <w:szCs w:val="24"/>
        </w:rPr>
        <w:t>6</w:t>
      </w:r>
      <w:r>
        <w:rPr>
          <w:rFonts w:ascii="方正仿宋_GBK" w:eastAsia="方正仿宋_GBK" w:hAnsi="宋体" w:hint="eastAsia"/>
          <w:sz w:val="24"/>
          <w:szCs w:val="24"/>
        </w:rPr>
        <w:t>项理由，并在备注中说明界定的相关商品市场和相关地域市场（无须阐述界定理由），以及相关市场份额。市场份额可以区间形式提供，区间幅度不应超过</w:t>
      </w:r>
      <w:r>
        <w:rPr>
          <w:rFonts w:ascii="方正仿宋_GBK" w:eastAsia="方正仿宋_GBK" w:hAnsi="宋体" w:hint="eastAsia"/>
          <w:sz w:val="24"/>
          <w:szCs w:val="24"/>
        </w:rPr>
        <w:t>5%</w:t>
      </w:r>
      <w:r>
        <w:rPr>
          <w:rFonts w:ascii="方正仿宋_GBK" w:eastAsia="方正仿宋_GBK" w:hAnsi="宋体" w:hint="eastAsia"/>
          <w:sz w:val="24"/>
          <w:szCs w:val="24"/>
        </w:rPr>
        <w:t>。</w:t>
      </w:r>
    </w:p>
    <w:p w14:paraId="2766D8E3" w14:textId="77777777" w:rsidR="00022444" w:rsidRDefault="00022444"/>
    <w:sectPr w:rsidR="000224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方正仿宋_GBK">
    <w:altName w:val="微软雅黑"/>
    <w:charset w:val="86"/>
    <w:family w:val="script"/>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86C299"/>
    <w:multiLevelType w:val="singleLevel"/>
    <w:tmpl w:val="9286C299"/>
    <w:lvl w:ilvl="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22444"/>
    <w:rsid w:val="00037065"/>
    <w:rsid w:val="000D7EBA"/>
    <w:rsid w:val="001164CD"/>
    <w:rsid w:val="00155717"/>
    <w:rsid w:val="001837A3"/>
    <w:rsid w:val="0021332C"/>
    <w:rsid w:val="003B129D"/>
    <w:rsid w:val="003C0AEB"/>
    <w:rsid w:val="003D5BE4"/>
    <w:rsid w:val="004F7688"/>
    <w:rsid w:val="00525909"/>
    <w:rsid w:val="006467D8"/>
    <w:rsid w:val="006A531B"/>
    <w:rsid w:val="006F7693"/>
    <w:rsid w:val="00710140"/>
    <w:rsid w:val="007F2275"/>
    <w:rsid w:val="008454D1"/>
    <w:rsid w:val="00915F0F"/>
    <w:rsid w:val="009532DF"/>
    <w:rsid w:val="00997019"/>
    <w:rsid w:val="009A5029"/>
    <w:rsid w:val="009D38D5"/>
    <w:rsid w:val="00A53F26"/>
    <w:rsid w:val="00AA0CC5"/>
    <w:rsid w:val="00B16AFE"/>
    <w:rsid w:val="00B65DD5"/>
    <w:rsid w:val="00BD10B6"/>
    <w:rsid w:val="00C07076"/>
    <w:rsid w:val="00C21D2E"/>
    <w:rsid w:val="00C40DBC"/>
    <w:rsid w:val="00CB00DF"/>
    <w:rsid w:val="00D01CA8"/>
    <w:rsid w:val="00D73C72"/>
    <w:rsid w:val="00E0592B"/>
    <w:rsid w:val="00E31738"/>
    <w:rsid w:val="00E86786"/>
    <w:rsid w:val="00EC1312"/>
    <w:rsid w:val="00ED2F80"/>
    <w:rsid w:val="00F1624E"/>
    <w:rsid w:val="00F32F8A"/>
    <w:rsid w:val="00F810AA"/>
    <w:rsid w:val="00F84C37"/>
    <w:rsid w:val="00F87EE2"/>
    <w:rsid w:val="00FB43EC"/>
    <w:rsid w:val="00FB6B40"/>
    <w:rsid w:val="013C57A1"/>
    <w:rsid w:val="02A4532B"/>
    <w:rsid w:val="03531714"/>
    <w:rsid w:val="04F315B2"/>
    <w:rsid w:val="08892EE0"/>
    <w:rsid w:val="0AD85637"/>
    <w:rsid w:val="0C473110"/>
    <w:rsid w:val="0DBA3289"/>
    <w:rsid w:val="0DDB51D1"/>
    <w:rsid w:val="0F5B6B8B"/>
    <w:rsid w:val="109D7005"/>
    <w:rsid w:val="11AD58C8"/>
    <w:rsid w:val="11B2437F"/>
    <w:rsid w:val="133F3991"/>
    <w:rsid w:val="15030B96"/>
    <w:rsid w:val="156F2B57"/>
    <w:rsid w:val="174E1EB1"/>
    <w:rsid w:val="176B0330"/>
    <w:rsid w:val="18024CB0"/>
    <w:rsid w:val="18F84A15"/>
    <w:rsid w:val="19C151E3"/>
    <w:rsid w:val="1A571804"/>
    <w:rsid w:val="1B5F1E56"/>
    <w:rsid w:val="1BCF10D0"/>
    <w:rsid w:val="1CD53C79"/>
    <w:rsid w:val="1E9C183B"/>
    <w:rsid w:val="240E5424"/>
    <w:rsid w:val="268D3950"/>
    <w:rsid w:val="284B6D1F"/>
    <w:rsid w:val="29F63E46"/>
    <w:rsid w:val="2C3D3C50"/>
    <w:rsid w:val="2CC87877"/>
    <w:rsid w:val="2E4306C0"/>
    <w:rsid w:val="2FBC64A1"/>
    <w:rsid w:val="305A0407"/>
    <w:rsid w:val="30BE79F7"/>
    <w:rsid w:val="30DB0B00"/>
    <w:rsid w:val="310835D2"/>
    <w:rsid w:val="310D614D"/>
    <w:rsid w:val="340309CC"/>
    <w:rsid w:val="343A3434"/>
    <w:rsid w:val="35E310CA"/>
    <w:rsid w:val="37261764"/>
    <w:rsid w:val="3B0D56C7"/>
    <w:rsid w:val="3BC12918"/>
    <w:rsid w:val="3BDB25C4"/>
    <w:rsid w:val="3C4F16B9"/>
    <w:rsid w:val="3DB77A8B"/>
    <w:rsid w:val="3E173302"/>
    <w:rsid w:val="3EB22F9E"/>
    <w:rsid w:val="41326DA3"/>
    <w:rsid w:val="439F2FF7"/>
    <w:rsid w:val="445D2E59"/>
    <w:rsid w:val="44F02ABE"/>
    <w:rsid w:val="45C01B60"/>
    <w:rsid w:val="468273E7"/>
    <w:rsid w:val="47262CD6"/>
    <w:rsid w:val="47361756"/>
    <w:rsid w:val="47987B7F"/>
    <w:rsid w:val="47E5055E"/>
    <w:rsid w:val="48A23725"/>
    <w:rsid w:val="4AA03B07"/>
    <w:rsid w:val="4B196834"/>
    <w:rsid w:val="4B4F55DA"/>
    <w:rsid w:val="4D0D1E3C"/>
    <w:rsid w:val="4F5B4BEE"/>
    <w:rsid w:val="4FFC20B2"/>
    <w:rsid w:val="52343276"/>
    <w:rsid w:val="52CE0B11"/>
    <w:rsid w:val="531F3350"/>
    <w:rsid w:val="537454E2"/>
    <w:rsid w:val="55B072B1"/>
    <w:rsid w:val="568A5D6A"/>
    <w:rsid w:val="57242BCE"/>
    <w:rsid w:val="57CF0AC6"/>
    <w:rsid w:val="59447D51"/>
    <w:rsid w:val="5E3D3E15"/>
    <w:rsid w:val="5E8C546F"/>
    <w:rsid w:val="60AE462C"/>
    <w:rsid w:val="636B4350"/>
    <w:rsid w:val="64744024"/>
    <w:rsid w:val="64A16C75"/>
    <w:rsid w:val="66222A5E"/>
    <w:rsid w:val="66901D6D"/>
    <w:rsid w:val="68C31020"/>
    <w:rsid w:val="6A261162"/>
    <w:rsid w:val="6AA91495"/>
    <w:rsid w:val="6AAB034C"/>
    <w:rsid w:val="6C814755"/>
    <w:rsid w:val="6C8C3759"/>
    <w:rsid w:val="6C9C4741"/>
    <w:rsid w:val="6D516F91"/>
    <w:rsid w:val="6DD32A83"/>
    <w:rsid w:val="6EF77064"/>
    <w:rsid w:val="6F63439E"/>
    <w:rsid w:val="7276280B"/>
    <w:rsid w:val="74DA73E3"/>
    <w:rsid w:val="77413CCA"/>
    <w:rsid w:val="77702E82"/>
    <w:rsid w:val="77D57709"/>
    <w:rsid w:val="786C3CA0"/>
    <w:rsid w:val="7920338F"/>
    <w:rsid w:val="7A0B2182"/>
    <w:rsid w:val="7A2B3849"/>
    <w:rsid w:val="7B674F93"/>
    <w:rsid w:val="7B821ABD"/>
    <w:rsid w:val="7B8429AF"/>
    <w:rsid w:val="7B9845D0"/>
    <w:rsid w:val="7BF3207D"/>
    <w:rsid w:val="7C79077F"/>
    <w:rsid w:val="7EB10B64"/>
    <w:rsid w:val="7FF66BC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2F3CB"/>
  <w15:docId w15:val="{D92A7FB0-74AD-48AF-9D32-3B115CDD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character" w:styleId="a4">
    <w:name w:val="annotation reference"/>
    <w:basedOn w:val="a0"/>
    <w:uiPriority w:val="99"/>
    <w:semiHidden/>
    <w:unhideWhenUsed/>
    <w:rsid w:val="00F84C37"/>
    <w:rPr>
      <w:sz w:val="21"/>
      <w:szCs w:val="21"/>
    </w:rPr>
  </w:style>
  <w:style w:type="paragraph" w:styleId="a5">
    <w:name w:val="annotation text"/>
    <w:basedOn w:val="a"/>
    <w:link w:val="a6"/>
    <w:uiPriority w:val="99"/>
    <w:semiHidden/>
    <w:unhideWhenUsed/>
    <w:rsid w:val="00F84C37"/>
    <w:pPr>
      <w:jc w:val="left"/>
    </w:pPr>
  </w:style>
  <w:style w:type="character" w:customStyle="1" w:styleId="a6">
    <w:name w:val="批注文字 字符"/>
    <w:basedOn w:val="a0"/>
    <w:link w:val="a5"/>
    <w:uiPriority w:val="99"/>
    <w:semiHidden/>
    <w:rsid w:val="00F84C37"/>
    <w:rPr>
      <w:rFonts w:ascii="Calibri" w:hAnsi="Calibri"/>
      <w:kern w:val="2"/>
      <w:sz w:val="21"/>
      <w:szCs w:val="22"/>
    </w:rPr>
  </w:style>
  <w:style w:type="paragraph" w:styleId="a7">
    <w:name w:val="annotation subject"/>
    <w:basedOn w:val="a5"/>
    <w:next w:val="a5"/>
    <w:link w:val="a8"/>
    <w:uiPriority w:val="99"/>
    <w:semiHidden/>
    <w:unhideWhenUsed/>
    <w:rsid w:val="00F84C37"/>
    <w:rPr>
      <w:b/>
      <w:bCs/>
    </w:rPr>
  </w:style>
  <w:style w:type="character" w:customStyle="1" w:styleId="a8">
    <w:name w:val="批注主题 字符"/>
    <w:basedOn w:val="a6"/>
    <w:link w:val="a7"/>
    <w:uiPriority w:val="99"/>
    <w:semiHidden/>
    <w:rsid w:val="00F84C37"/>
    <w:rPr>
      <w:rFonts w:ascii="Calibri" w:hAnsi="Calibr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zcy</cp:lastModifiedBy>
  <cp:revision>3</cp:revision>
  <cp:lastPrinted>2021-04-29T06:11:00Z</cp:lastPrinted>
  <dcterms:created xsi:type="dcterms:W3CDTF">2021-06-18T01:43:00Z</dcterms:created>
  <dcterms:modified xsi:type="dcterms:W3CDTF">2021-06-18T01:43:00Z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A2E3A0FE818C4D238AB02D6F75E242C8</vt:lpwstr>
  </property>
</Properties>
</file>