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仿宋_GB2312"/>
          <w:b/>
          <w:sz w:val="24"/>
          <w:szCs w:val="24"/>
        </w:rPr>
      </w:pPr>
    </w:p>
    <w:p>
      <w:pPr>
        <w:spacing w:line="440" w:lineRule="exact"/>
        <w:jc w:val="center"/>
        <w:rPr>
          <w:rFonts w:ascii="Times New Roman" w:hAnsi="Times New Roman" w:eastAsia="仿宋_GB2312"/>
          <w:b/>
          <w:sz w:val="28"/>
          <w:szCs w:val="28"/>
        </w:rPr>
      </w:pPr>
      <w:r>
        <w:rPr>
          <w:rFonts w:hint="eastAsia" w:ascii="Times New Roman" w:hAnsi="Times New Roman" w:eastAsia="仿宋_GB2312"/>
          <w:b/>
          <w:sz w:val="28"/>
          <w:szCs w:val="28"/>
        </w:rPr>
        <w:t>经营者集中简易案件公示表</w:t>
      </w:r>
    </w:p>
    <w:p>
      <w:pPr>
        <w:spacing w:line="440" w:lineRule="exact"/>
        <w:rPr>
          <w:rFonts w:ascii="Times New Roman" w:hAnsi="Times New Roman" w:eastAsia="仿宋_GB2312"/>
          <w:sz w:val="24"/>
          <w:szCs w:val="24"/>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eastAsia="仿宋_GB2312"/>
                <w:color w:val="333333"/>
                <w:kern w:val="0"/>
                <w:sz w:val="24"/>
                <w:szCs w:val="24"/>
              </w:rPr>
            </w:pPr>
            <w:r>
              <w:rPr>
                <w:rFonts w:hint="eastAsia" w:ascii="Times New Roman" w:hAnsi="Times New Roman" w:eastAsia="仿宋_GB2312"/>
                <w:color w:val="333333"/>
                <w:kern w:val="0"/>
                <w:sz w:val="24"/>
                <w:szCs w:val="24"/>
              </w:rPr>
              <w:t>案件名称</w:t>
            </w:r>
          </w:p>
        </w:tc>
        <w:tc>
          <w:tcPr>
            <w:tcW w:w="6949" w:type="dxa"/>
            <w:gridSpan w:val="2"/>
            <w:vAlign w:val="center"/>
          </w:tcPr>
          <w:p>
            <w:pPr>
              <w:spacing w:line="500" w:lineRule="exact"/>
              <w:rPr>
                <w:rFonts w:ascii="Times New Roman" w:hAnsi="Times New Roman" w:eastAsia="仿宋_GB2312"/>
                <w:sz w:val="24"/>
                <w:szCs w:val="24"/>
              </w:rPr>
            </w:pPr>
            <w:r>
              <w:rPr>
                <w:rFonts w:hint="eastAsia" w:ascii="Times New Roman" w:hAnsi="Times New Roman" w:eastAsia="仿宋_GB2312"/>
                <w:bCs/>
                <w:kern w:val="0"/>
                <w:sz w:val="24"/>
                <w:szCs w:val="24"/>
              </w:rPr>
              <w:t>上海杨浦滨江投资开发有限公司收购上海同济科技实业股份有限公司股权案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Times New Roman" w:hAnsi="Times New Roman" w:eastAsia="仿宋_GB2312"/>
                <w:color w:val="333333"/>
                <w:kern w:val="0"/>
                <w:sz w:val="24"/>
                <w:szCs w:val="24"/>
              </w:rPr>
            </w:pPr>
            <w:r>
              <w:rPr>
                <w:rFonts w:hint="eastAsia" w:ascii="Times New Roman" w:hAnsi="Times New Roman" w:eastAsia="仿宋_GB2312"/>
                <w:color w:val="333333"/>
                <w:kern w:val="0"/>
                <w:sz w:val="24"/>
                <w:szCs w:val="24"/>
              </w:rPr>
              <w:t>交易概况</w:t>
            </w:r>
          </w:p>
          <w:p>
            <w:pPr>
              <w:spacing w:line="500" w:lineRule="exact"/>
              <w:jc w:val="center"/>
              <w:rPr>
                <w:rFonts w:ascii="Times New Roman" w:hAnsi="Times New Roman" w:eastAsia="仿宋_GB2312"/>
                <w:color w:val="333333"/>
                <w:kern w:val="0"/>
                <w:sz w:val="24"/>
                <w:szCs w:val="24"/>
              </w:rPr>
            </w:pPr>
            <w:r>
              <w:rPr>
                <w:rFonts w:hint="eastAsia" w:ascii="Times New Roman" w:hAnsi="Times New Roman" w:eastAsia="仿宋_GB2312"/>
                <w:color w:val="333333"/>
                <w:kern w:val="0"/>
                <w:sz w:val="24"/>
                <w:szCs w:val="24"/>
              </w:rPr>
              <w:t>（限200字内）</w:t>
            </w:r>
          </w:p>
        </w:tc>
        <w:tc>
          <w:tcPr>
            <w:tcW w:w="6949" w:type="dxa"/>
            <w:gridSpan w:val="2"/>
            <w:vAlign w:val="center"/>
          </w:tcPr>
          <w:p>
            <w:pPr>
              <w:spacing w:line="500" w:lineRule="exact"/>
              <w:rPr>
                <w:rFonts w:ascii="Times New Roman" w:hAnsi="Times New Roman" w:eastAsia="仿宋_GB2312"/>
                <w:sz w:val="24"/>
                <w:szCs w:val="24"/>
              </w:rPr>
            </w:pPr>
            <w:r>
              <w:rPr>
                <w:rFonts w:hint="eastAsia" w:ascii="Times New Roman" w:hAnsi="Times New Roman" w:eastAsia="仿宋_GB2312"/>
                <w:sz w:val="24"/>
                <w:szCs w:val="24"/>
              </w:rPr>
              <w:t>本次交易前，同济大学和同济创新创业控股有限公司（“</w:t>
            </w:r>
            <w:r>
              <w:rPr>
                <w:rFonts w:hint="eastAsia" w:ascii="Times New Roman" w:hAnsi="Times New Roman" w:eastAsia="仿宋_GB2312"/>
                <w:b/>
                <w:sz w:val="24"/>
                <w:szCs w:val="24"/>
              </w:rPr>
              <w:t>同济控股</w:t>
            </w:r>
            <w:r>
              <w:rPr>
                <w:rFonts w:hint="eastAsia" w:ascii="Times New Roman" w:hAnsi="Times New Roman" w:eastAsia="仿宋_GB2312"/>
                <w:sz w:val="24"/>
                <w:szCs w:val="24"/>
              </w:rPr>
              <w:t>”）分别持有上海同杨实业有限公司（“</w:t>
            </w:r>
            <w:r>
              <w:rPr>
                <w:rFonts w:hint="eastAsia" w:ascii="Times New Roman" w:hAnsi="Times New Roman" w:eastAsia="仿宋_GB2312"/>
                <w:b/>
                <w:sz w:val="24"/>
                <w:szCs w:val="24"/>
              </w:rPr>
              <w:t>同杨实业</w:t>
            </w:r>
            <w:r>
              <w:rPr>
                <w:rFonts w:hint="eastAsia" w:ascii="Times New Roman" w:hAnsi="Times New Roman" w:eastAsia="仿宋_GB2312"/>
                <w:sz w:val="24"/>
                <w:szCs w:val="24"/>
              </w:rPr>
              <w:t>”）81%和19%股权，同杨实业持有上海同济科技实业股份有限公司（“</w:t>
            </w:r>
            <w:r>
              <w:rPr>
                <w:rFonts w:hint="eastAsia" w:ascii="Times New Roman" w:hAnsi="Times New Roman" w:eastAsia="仿宋_GB2312"/>
                <w:b/>
                <w:sz w:val="24"/>
                <w:szCs w:val="24"/>
              </w:rPr>
              <w:t>同济科技</w:t>
            </w:r>
            <w:r>
              <w:rPr>
                <w:rFonts w:hint="eastAsia" w:ascii="Times New Roman" w:hAnsi="Times New Roman" w:eastAsia="仿宋_GB2312"/>
                <w:sz w:val="24"/>
                <w:szCs w:val="24"/>
              </w:rPr>
              <w:t>”）23.38%股权并控制同济科技。本次交易中，同济大学拟将其持有的同杨实业81%股权无偿划转至杨浦滨江。本次交易完成后，杨浦滨江将持有同杨实业81%股权，取得同杨实业控制权，并间接取得同济科技控制权。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Times New Roman" w:hAnsi="Times New Roman" w:eastAsia="仿宋_GB2312"/>
                <w:color w:val="333333"/>
                <w:kern w:val="0"/>
                <w:sz w:val="24"/>
                <w:szCs w:val="24"/>
              </w:rPr>
            </w:pPr>
            <w:r>
              <w:rPr>
                <w:rFonts w:hint="eastAsia" w:ascii="Times New Roman" w:hAnsi="Times New Roman" w:eastAsia="仿宋_GB2312"/>
                <w:color w:val="333333"/>
                <w:kern w:val="0"/>
                <w:sz w:val="24"/>
                <w:szCs w:val="24"/>
              </w:rPr>
              <w:t>参与集中的</w:t>
            </w:r>
          </w:p>
          <w:p>
            <w:pPr>
              <w:spacing w:line="500" w:lineRule="exact"/>
              <w:jc w:val="center"/>
              <w:rPr>
                <w:rFonts w:ascii="Times New Roman" w:hAnsi="Times New Roman" w:eastAsia="仿宋_GB2312"/>
                <w:color w:val="333333"/>
                <w:kern w:val="0"/>
                <w:sz w:val="24"/>
                <w:szCs w:val="24"/>
              </w:rPr>
            </w:pPr>
            <w:r>
              <w:rPr>
                <w:rFonts w:hint="eastAsia" w:ascii="Times New Roman" w:hAnsi="Times New Roman" w:eastAsia="仿宋_GB2312"/>
                <w:color w:val="333333"/>
                <w:kern w:val="0"/>
                <w:sz w:val="24"/>
                <w:szCs w:val="24"/>
              </w:rPr>
              <w:t>经营者简介</w:t>
            </w:r>
          </w:p>
        </w:tc>
        <w:tc>
          <w:tcPr>
            <w:tcW w:w="1796" w:type="dxa"/>
            <w:vAlign w:val="center"/>
          </w:tcPr>
          <w:p>
            <w:pPr>
              <w:spacing w:line="500" w:lineRule="exact"/>
              <w:rPr>
                <w:rFonts w:ascii="Times New Roman" w:hAnsi="Times New Roman" w:eastAsia="仿宋_GB2312"/>
                <w:sz w:val="24"/>
                <w:szCs w:val="24"/>
              </w:rPr>
            </w:pPr>
            <w:r>
              <w:rPr>
                <w:rFonts w:hint="eastAsia" w:ascii="Times New Roman" w:hAnsi="Times New Roman" w:eastAsia="仿宋_GB2312"/>
                <w:sz w:val="24"/>
                <w:szCs w:val="24"/>
              </w:rPr>
              <w:t>1、杨浦滨江</w:t>
            </w:r>
          </w:p>
        </w:tc>
        <w:tc>
          <w:tcPr>
            <w:tcW w:w="5153" w:type="dxa"/>
            <w:vAlign w:val="center"/>
          </w:tcPr>
          <w:p>
            <w:pPr>
              <w:spacing w:line="500" w:lineRule="exact"/>
              <w:rPr>
                <w:rFonts w:ascii="Times New Roman" w:hAnsi="Times New Roman" w:eastAsia="仿宋_GB2312"/>
                <w:sz w:val="24"/>
                <w:szCs w:val="24"/>
              </w:rPr>
            </w:pPr>
            <w:r>
              <w:rPr>
                <w:rFonts w:hint="eastAsia" w:ascii="Times New Roman" w:hAnsi="Times New Roman" w:eastAsia="仿宋_GB2312"/>
                <w:sz w:val="24"/>
                <w:szCs w:val="24"/>
              </w:rPr>
              <w:t>杨浦滨江是杨浦区国资系统骨干企业，是杨浦滨江区域综合开发管理的市场化主体和平台。在人民城市重要理念的指引下，杨浦滨江通过实施城市更新，全面承担杨浦滨江世界级滨水区域的投资、融资、建设、运营、管理等综合职能，秉承“远见、创新、卓越、共赢”的企业价值观，致力于成为一流的城市综合服务运营商。</w:t>
            </w:r>
          </w:p>
          <w:p>
            <w:pPr>
              <w:spacing w:line="500" w:lineRule="exact"/>
              <w:rPr>
                <w:rFonts w:ascii="Times New Roman" w:hAnsi="Times New Roman" w:eastAsia="仿宋_GB2312"/>
                <w:sz w:val="24"/>
                <w:szCs w:val="24"/>
              </w:rPr>
            </w:pPr>
          </w:p>
          <w:p>
            <w:pPr>
              <w:spacing w:line="500" w:lineRule="exact"/>
              <w:rPr>
                <w:rFonts w:ascii="Times New Roman" w:hAnsi="Times New Roman" w:eastAsia="仿宋_GB2312"/>
                <w:sz w:val="24"/>
                <w:szCs w:val="24"/>
              </w:rPr>
            </w:pPr>
            <w:r>
              <w:rPr>
                <w:rFonts w:hint="eastAsia" w:ascii="Times New Roman" w:hAnsi="Times New Roman" w:eastAsia="仿宋_GB2312"/>
                <w:sz w:val="24"/>
                <w:szCs w:val="24"/>
              </w:rPr>
              <w:t>杨浦滨江主营业务包括城市管理与运营、产业投资与运营、资产管理与运营、地产投资与开发，依托金融平台、智慧平台，构建以城载产、以产兴城、产城融合的发展格局，全力建设人民城市示范区和7x24活力城区，正成为上海杨浦新一轮发展的战略支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Times New Roman" w:hAnsi="Times New Roman" w:eastAsia="仿宋_GB2312"/>
                <w:color w:val="333333"/>
                <w:kern w:val="0"/>
                <w:sz w:val="24"/>
                <w:szCs w:val="24"/>
              </w:rPr>
            </w:pPr>
          </w:p>
        </w:tc>
        <w:tc>
          <w:tcPr>
            <w:tcW w:w="1796" w:type="dxa"/>
            <w:vAlign w:val="center"/>
          </w:tcPr>
          <w:p>
            <w:pPr>
              <w:spacing w:line="500" w:lineRule="exact"/>
              <w:rPr>
                <w:rFonts w:ascii="Times New Roman" w:hAnsi="Times New Roman" w:eastAsia="仿宋_GB2312"/>
                <w:sz w:val="24"/>
                <w:szCs w:val="24"/>
              </w:rPr>
            </w:pPr>
            <w:r>
              <w:rPr>
                <w:rFonts w:hint="eastAsia" w:ascii="Times New Roman" w:hAnsi="Times New Roman" w:eastAsia="仿宋_GB2312"/>
                <w:sz w:val="24"/>
                <w:szCs w:val="24"/>
              </w:rPr>
              <w:t>2、同济科技</w:t>
            </w:r>
          </w:p>
        </w:tc>
        <w:tc>
          <w:tcPr>
            <w:tcW w:w="5153" w:type="dxa"/>
            <w:vAlign w:val="center"/>
          </w:tcPr>
          <w:p>
            <w:pPr>
              <w:spacing w:line="500" w:lineRule="exact"/>
              <w:rPr>
                <w:rFonts w:ascii="Times New Roman" w:hAnsi="Times New Roman" w:eastAsia="仿宋_GB2312"/>
                <w:sz w:val="24"/>
                <w:szCs w:val="24"/>
              </w:rPr>
            </w:pPr>
            <w:r>
              <w:rPr>
                <w:rFonts w:hint="eastAsia" w:ascii="Times New Roman" w:hAnsi="Times New Roman" w:eastAsia="仿宋_GB2312"/>
                <w:sz w:val="24"/>
                <w:szCs w:val="24"/>
              </w:rPr>
              <w:t>同济科技主要业务板块包括：工程咨询业务、建筑工程业务、环保工程与投资运营业务和房地产开发业务。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Times New Roman" w:hAnsi="Times New Roman" w:eastAsia="仿宋_GB2312"/>
                <w:color w:val="333333"/>
                <w:kern w:val="0"/>
                <w:sz w:val="24"/>
                <w:szCs w:val="24"/>
              </w:rPr>
            </w:pPr>
            <w:r>
              <w:rPr>
                <w:rFonts w:hint="eastAsia" w:ascii="Times New Roman" w:hAnsi="Times New Roman" w:eastAsia="仿宋_GB2312"/>
                <w:color w:val="333333"/>
                <w:kern w:val="0"/>
                <w:sz w:val="24"/>
                <w:szCs w:val="24"/>
              </w:rPr>
              <w:t>简易案件理由（可以单选，也可以多选）</w:t>
            </w:r>
          </w:p>
        </w:tc>
        <w:tc>
          <w:tcPr>
            <w:tcW w:w="6949" w:type="dxa"/>
            <w:gridSpan w:val="2"/>
            <w:vAlign w:val="center"/>
          </w:tcPr>
          <w:p>
            <w:pPr>
              <w:spacing w:line="500" w:lineRule="exact"/>
              <w:rPr>
                <w:rFonts w:ascii="Times New Roman" w:hAnsi="Times New Roman" w:eastAsia="仿宋_GB2312"/>
                <w:sz w:val="24"/>
                <w:szCs w:val="24"/>
              </w:rPr>
            </w:pPr>
            <w:r>
              <w:rPr>
                <w:rFonts w:hint="eastAsia" w:ascii="Times New Roman" w:hAnsi="Times New Roman" w:eastAsia="仿宋_GB2312"/>
                <w:sz w:val="24"/>
                <w:szCs w:val="24"/>
              </w:rPr>
              <w:sym w:font="Wingdings" w:char="F0A8"/>
            </w:r>
            <w:r>
              <w:rPr>
                <w:rFonts w:hint="eastAsia" w:ascii="Times New Roman" w:hAnsi="Times New Roman" w:eastAsia="仿宋_GB2312"/>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Times New Roman" w:hAnsi="Times New Roman" w:eastAsia="仿宋_GB2312"/>
                <w:color w:val="333333"/>
                <w:kern w:val="0"/>
                <w:sz w:val="24"/>
                <w:szCs w:val="24"/>
              </w:rPr>
            </w:pPr>
          </w:p>
        </w:tc>
        <w:tc>
          <w:tcPr>
            <w:tcW w:w="6949" w:type="dxa"/>
            <w:gridSpan w:val="2"/>
            <w:vAlign w:val="center"/>
          </w:tcPr>
          <w:p>
            <w:pPr>
              <w:spacing w:line="500" w:lineRule="exact"/>
              <w:rPr>
                <w:rFonts w:ascii="Times New Roman" w:hAnsi="Times New Roman" w:eastAsia="仿宋_GB2312"/>
                <w:sz w:val="24"/>
                <w:szCs w:val="24"/>
              </w:rPr>
            </w:pPr>
            <w:r>
              <w:rPr>
                <w:rFonts w:hint="eastAsia" w:ascii="Times New Roman" w:hAnsi="Times New Roman" w:eastAsia="仿宋_GB2312"/>
                <w:sz w:val="24"/>
                <w:szCs w:val="24"/>
              </w:rPr>
              <w:sym w:font="Wingdings" w:char="F0FE"/>
            </w:r>
            <w:r>
              <w:rPr>
                <w:rFonts w:hint="eastAsia" w:ascii="Times New Roman" w:hAnsi="Times New Roman" w:eastAsia="仿宋_GB2312"/>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Times New Roman" w:hAnsi="Times New Roman" w:eastAsia="仿宋_GB2312"/>
                <w:color w:val="333333"/>
                <w:kern w:val="0"/>
                <w:sz w:val="24"/>
                <w:szCs w:val="24"/>
              </w:rPr>
            </w:pPr>
          </w:p>
        </w:tc>
        <w:tc>
          <w:tcPr>
            <w:tcW w:w="6949" w:type="dxa"/>
            <w:gridSpan w:val="2"/>
            <w:vAlign w:val="center"/>
          </w:tcPr>
          <w:p>
            <w:pPr>
              <w:spacing w:line="500" w:lineRule="exact"/>
              <w:rPr>
                <w:rFonts w:ascii="Times New Roman" w:hAnsi="Times New Roman" w:eastAsia="仿宋_GB2312"/>
                <w:sz w:val="24"/>
                <w:szCs w:val="24"/>
              </w:rPr>
            </w:pPr>
            <w:r>
              <w:rPr>
                <w:rFonts w:hint="eastAsia" w:ascii="Times New Roman" w:hAnsi="Times New Roman" w:eastAsia="仿宋_GB2312"/>
                <w:sz w:val="24"/>
                <w:szCs w:val="24"/>
              </w:rPr>
              <w:sym w:font="Wingdings" w:char="F0A8"/>
            </w:r>
            <w:r>
              <w:rPr>
                <w:rFonts w:hint="eastAsia" w:ascii="Times New Roman" w:hAnsi="Times New Roman" w:eastAsia="仿宋_GB2312"/>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Times New Roman" w:hAnsi="Times New Roman" w:eastAsia="仿宋_GB2312"/>
                <w:color w:val="333333"/>
                <w:kern w:val="0"/>
                <w:sz w:val="24"/>
                <w:szCs w:val="24"/>
              </w:rPr>
            </w:pPr>
          </w:p>
        </w:tc>
        <w:tc>
          <w:tcPr>
            <w:tcW w:w="6949" w:type="dxa"/>
            <w:gridSpan w:val="2"/>
            <w:vAlign w:val="center"/>
          </w:tcPr>
          <w:p>
            <w:pPr>
              <w:spacing w:line="500" w:lineRule="exact"/>
              <w:rPr>
                <w:rFonts w:ascii="Times New Roman" w:hAnsi="Times New Roman" w:eastAsia="仿宋_GB2312"/>
                <w:sz w:val="24"/>
                <w:szCs w:val="24"/>
              </w:rPr>
            </w:pPr>
            <w:r>
              <w:rPr>
                <w:rFonts w:hint="eastAsia" w:ascii="Times New Roman" w:hAnsi="Times New Roman" w:eastAsia="仿宋_GB2312"/>
                <w:sz w:val="24"/>
                <w:szCs w:val="24"/>
              </w:rPr>
              <w:sym w:font="Wingdings" w:char="F0A8"/>
            </w:r>
            <w:r>
              <w:rPr>
                <w:rFonts w:hint="eastAsia" w:ascii="Times New Roman" w:hAnsi="Times New Roman" w:eastAsia="仿宋_GB2312"/>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Times New Roman" w:hAnsi="Times New Roman" w:eastAsia="仿宋_GB2312"/>
                <w:color w:val="333333"/>
                <w:kern w:val="0"/>
                <w:sz w:val="24"/>
                <w:szCs w:val="24"/>
              </w:rPr>
            </w:pPr>
          </w:p>
        </w:tc>
        <w:tc>
          <w:tcPr>
            <w:tcW w:w="6949" w:type="dxa"/>
            <w:gridSpan w:val="2"/>
            <w:vAlign w:val="center"/>
          </w:tcPr>
          <w:p>
            <w:pPr>
              <w:spacing w:line="500" w:lineRule="exact"/>
              <w:rPr>
                <w:rFonts w:ascii="Times New Roman" w:hAnsi="Times New Roman" w:eastAsia="仿宋_GB2312"/>
                <w:sz w:val="24"/>
                <w:szCs w:val="24"/>
              </w:rPr>
            </w:pPr>
            <w:r>
              <w:rPr>
                <w:rFonts w:hint="eastAsia" w:ascii="Times New Roman" w:hAnsi="Times New Roman" w:eastAsia="仿宋_GB2312"/>
                <w:sz w:val="24"/>
                <w:szCs w:val="24"/>
              </w:rPr>
              <w:sym w:font="Wingdings" w:char="F0A8"/>
            </w:r>
            <w:r>
              <w:rPr>
                <w:rFonts w:hint="eastAsia" w:ascii="Times New Roman" w:hAnsi="Times New Roman" w:eastAsia="仿宋_GB2312"/>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Times New Roman" w:hAnsi="Times New Roman" w:eastAsia="仿宋_GB2312"/>
                <w:color w:val="333333"/>
                <w:kern w:val="0"/>
                <w:sz w:val="24"/>
                <w:szCs w:val="24"/>
              </w:rPr>
            </w:pPr>
          </w:p>
        </w:tc>
        <w:tc>
          <w:tcPr>
            <w:tcW w:w="6949" w:type="dxa"/>
            <w:gridSpan w:val="2"/>
            <w:vAlign w:val="center"/>
          </w:tcPr>
          <w:p>
            <w:pPr>
              <w:spacing w:line="500" w:lineRule="exact"/>
              <w:rPr>
                <w:rFonts w:ascii="Times New Roman" w:hAnsi="Times New Roman" w:eastAsia="仿宋_GB2312"/>
                <w:sz w:val="24"/>
                <w:szCs w:val="24"/>
              </w:rPr>
            </w:pPr>
            <w:r>
              <w:rPr>
                <w:rFonts w:hint="eastAsia" w:ascii="Times New Roman" w:hAnsi="Times New Roman" w:eastAsia="仿宋_GB2312"/>
                <w:sz w:val="24"/>
                <w:szCs w:val="24"/>
              </w:rPr>
              <w:sym w:font="Wingdings" w:char="F0A8"/>
            </w:r>
            <w:r>
              <w:rPr>
                <w:rFonts w:hint="eastAsia" w:ascii="Times New Roman" w:hAnsi="Times New Roman" w:eastAsia="仿宋_GB2312"/>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eastAsia="仿宋_GB2312"/>
                <w:color w:val="333333"/>
                <w:kern w:val="0"/>
                <w:sz w:val="24"/>
                <w:szCs w:val="24"/>
              </w:rPr>
            </w:pPr>
            <w:r>
              <w:rPr>
                <w:rFonts w:hint="eastAsia" w:ascii="Times New Roman" w:hAnsi="Times New Roman" w:eastAsia="仿宋_GB2312"/>
                <w:color w:val="333333"/>
                <w:kern w:val="0"/>
                <w:sz w:val="24"/>
                <w:szCs w:val="24"/>
              </w:rPr>
              <w:t>备注</w:t>
            </w:r>
          </w:p>
        </w:tc>
        <w:tc>
          <w:tcPr>
            <w:tcW w:w="6949" w:type="dxa"/>
            <w:gridSpan w:val="2"/>
            <w:vAlign w:val="center"/>
          </w:tcPr>
          <w:p>
            <w:pPr>
              <w:spacing w:line="500" w:lineRule="exact"/>
              <w:rPr>
                <w:rFonts w:ascii="Times New Roman" w:hAnsi="Times New Roman" w:eastAsia="仿宋_GB2312"/>
                <w:b/>
                <w:sz w:val="24"/>
                <w:szCs w:val="24"/>
                <w:u w:val="single"/>
              </w:rPr>
            </w:pPr>
            <w:r>
              <w:rPr>
                <w:rFonts w:hint="eastAsia" w:ascii="Times New Roman" w:hAnsi="Times New Roman" w:eastAsia="仿宋_GB2312"/>
                <w:b/>
                <w:sz w:val="24"/>
                <w:szCs w:val="24"/>
                <w:u w:val="single"/>
              </w:rPr>
              <w:t>相关市场界定及市场份额：</w:t>
            </w:r>
          </w:p>
          <w:p>
            <w:pPr>
              <w:spacing w:line="500" w:lineRule="exact"/>
              <w:rPr>
                <w:rFonts w:ascii="Times New Roman" w:hAnsi="Times New Roman" w:eastAsia="仿宋_GB2312"/>
                <w:sz w:val="24"/>
                <w:szCs w:val="24"/>
              </w:rPr>
            </w:pPr>
            <w:r>
              <w:rPr>
                <w:rFonts w:hint="eastAsia" w:ascii="Times New Roman" w:hAnsi="Times New Roman" w:eastAsia="仿宋_GB2312"/>
                <w:sz w:val="24"/>
                <w:szCs w:val="24"/>
              </w:rPr>
              <w:t>1、杨浦滨江</w:t>
            </w:r>
            <w:r>
              <w:rPr>
                <w:rFonts w:hint="eastAsia" w:ascii="Times New Roman" w:hAnsi="Times New Roman" w:eastAsia="仿宋_GB2312"/>
                <w:sz w:val="24"/>
                <w:szCs w:val="24"/>
                <w:lang w:eastAsia="zh-CN"/>
              </w:rPr>
              <w:t>，</w:t>
            </w:r>
            <w:r>
              <w:rPr>
                <w:rFonts w:hint="eastAsia" w:ascii="Times New Roman" w:hAnsi="Times New Roman" w:eastAsia="仿宋_GB2312"/>
                <w:sz w:val="24"/>
                <w:szCs w:val="24"/>
              </w:rPr>
              <w:t>上海市保障性住房开发和运营市场：[</w:t>
            </w:r>
            <w:r>
              <w:rPr>
                <w:rFonts w:ascii="Times New Roman" w:hAnsi="Times New Roman" w:eastAsia="仿宋_GB2312"/>
                <w:sz w:val="24"/>
                <w:szCs w:val="24"/>
              </w:rPr>
              <w:t>0-5]%</w:t>
            </w:r>
          </w:p>
          <w:p>
            <w:pPr>
              <w:spacing w:line="500" w:lineRule="exact"/>
              <w:rPr>
                <w:rFonts w:ascii="Times New Roman" w:hAnsi="Times New Roman" w:eastAsia="仿宋_GB2312"/>
                <w:sz w:val="24"/>
                <w:szCs w:val="24"/>
              </w:rPr>
            </w:pPr>
            <w:r>
              <w:rPr>
                <w:rFonts w:ascii="Times New Roman" w:hAnsi="Times New Roman" w:eastAsia="仿宋_GB2312"/>
                <w:sz w:val="24"/>
                <w:szCs w:val="24"/>
              </w:rPr>
              <w:t>2</w:t>
            </w:r>
            <w:r>
              <w:rPr>
                <w:rFonts w:hint="eastAsia" w:ascii="Times New Roman" w:hAnsi="Times New Roman" w:eastAsia="仿宋_GB2312"/>
                <w:sz w:val="24"/>
                <w:szCs w:val="24"/>
              </w:rPr>
              <w:t>、同济科技</w:t>
            </w:r>
            <w:r>
              <w:rPr>
                <w:rFonts w:hint="eastAsia" w:ascii="Times New Roman" w:hAnsi="Times New Roman" w:eastAsia="仿宋_GB2312"/>
                <w:sz w:val="24"/>
                <w:szCs w:val="24"/>
                <w:lang w:eastAsia="zh-CN"/>
              </w:rPr>
              <w:t>，</w:t>
            </w:r>
            <w:bookmarkStart w:id="0" w:name="_GoBack"/>
            <w:bookmarkEnd w:id="0"/>
            <w:r>
              <w:rPr>
                <w:rFonts w:hint="eastAsia" w:ascii="Times New Roman" w:hAnsi="Times New Roman" w:eastAsia="仿宋_GB2312"/>
                <w:sz w:val="24"/>
                <w:szCs w:val="24"/>
              </w:rPr>
              <w:t>中国房屋建筑工程施工总承包市场：[</w:t>
            </w:r>
            <w:r>
              <w:rPr>
                <w:rFonts w:ascii="Times New Roman" w:hAnsi="Times New Roman" w:eastAsia="仿宋_GB2312"/>
                <w:sz w:val="24"/>
                <w:szCs w:val="24"/>
              </w:rPr>
              <w:t>0-5]%</w:t>
            </w:r>
          </w:p>
          <w:p>
            <w:pPr>
              <w:spacing w:line="500" w:lineRule="exact"/>
              <w:rPr>
                <w:rFonts w:ascii="Times New Roman" w:hAnsi="Times New Roman" w:eastAsia="仿宋_GB2312"/>
                <w:sz w:val="24"/>
                <w:szCs w:val="24"/>
              </w:rPr>
            </w:pPr>
          </w:p>
        </w:tc>
      </w:tr>
    </w:tbl>
    <w:p>
      <w:pPr>
        <w:snapToGrid w:val="0"/>
        <w:spacing w:line="240" w:lineRule="exact"/>
        <w:jc w:val="left"/>
        <w:rPr>
          <w:rFonts w:ascii="Times New Roman" w:hAnsi="Times New Roman" w:eastAsia="仿宋_GB2312"/>
          <w:sz w:val="24"/>
          <w:szCs w:val="24"/>
        </w:rPr>
      </w:pPr>
    </w:p>
    <w:p>
      <w:pPr>
        <w:rPr>
          <w:rFonts w:ascii="Times New Roman" w:hAnsi="Times New Roman" w:eastAsia="仿宋_GB2312"/>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NotTrackMoves/>
  <w:doNotTrackFormatting/>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10479"/>
    <w:rsid w:val="00035259"/>
    <w:rsid w:val="00037065"/>
    <w:rsid w:val="000569AF"/>
    <w:rsid w:val="00082622"/>
    <w:rsid w:val="000B3D78"/>
    <w:rsid w:val="000D7EBA"/>
    <w:rsid w:val="0010782F"/>
    <w:rsid w:val="001164CD"/>
    <w:rsid w:val="00155717"/>
    <w:rsid w:val="001837A3"/>
    <w:rsid w:val="00195F6C"/>
    <w:rsid w:val="00197670"/>
    <w:rsid w:val="001A07DB"/>
    <w:rsid w:val="001E58E7"/>
    <w:rsid w:val="002836F8"/>
    <w:rsid w:val="002C5055"/>
    <w:rsid w:val="00330118"/>
    <w:rsid w:val="003C0AEB"/>
    <w:rsid w:val="003C7C75"/>
    <w:rsid w:val="003F389B"/>
    <w:rsid w:val="003F615A"/>
    <w:rsid w:val="00426ECA"/>
    <w:rsid w:val="0044189C"/>
    <w:rsid w:val="00446797"/>
    <w:rsid w:val="004647E8"/>
    <w:rsid w:val="00493857"/>
    <w:rsid w:val="004A74DB"/>
    <w:rsid w:val="004D3737"/>
    <w:rsid w:val="004E5A0D"/>
    <w:rsid w:val="004F7688"/>
    <w:rsid w:val="00522527"/>
    <w:rsid w:val="0056485C"/>
    <w:rsid w:val="005741F3"/>
    <w:rsid w:val="0057511F"/>
    <w:rsid w:val="005B727F"/>
    <w:rsid w:val="005E31B1"/>
    <w:rsid w:val="005E7127"/>
    <w:rsid w:val="006200BA"/>
    <w:rsid w:val="006467D8"/>
    <w:rsid w:val="00652902"/>
    <w:rsid w:val="00653BF0"/>
    <w:rsid w:val="006A531B"/>
    <w:rsid w:val="006D0C45"/>
    <w:rsid w:val="006F7693"/>
    <w:rsid w:val="007026EE"/>
    <w:rsid w:val="007062EE"/>
    <w:rsid w:val="00710140"/>
    <w:rsid w:val="0071261C"/>
    <w:rsid w:val="00741DE4"/>
    <w:rsid w:val="00745CAD"/>
    <w:rsid w:val="00770153"/>
    <w:rsid w:val="007C46E3"/>
    <w:rsid w:val="007D7C9D"/>
    <w:rsid w:val="007E3767"/>
    <w:rsid w:val="007E6D05"/>
    <w:rsid w:val="007F2275"/>
    <w:rsid w:val="008B39CA"/>
    <w:rsid w:val="008E3178"/>
    <w:rsid w:val="00914BD6"/>
    <w:rsid w:val="00915F0F"/>
    <w:rsid w:val="00945221"/>
    <w:rsid w:val="009532DF"/>
    <w:rsid w:val="00954D39"/>
    <w:rsid w:val="00990F5D"/>
    <w:rsid w:val="00997019"/>
    <w:rsid w:val="009A5029"/>
    <w:rsid w:val="009D38D5"/>
    <w:rsid w:val="009E7DFE"/>
    <w:rsid w:val="009F3AF1"/>
    <w:rsid w:val="009F7295"/>
    <w:rsid w:val="009F7ED8"/>
    <w:rsid w:val="00A03C71"/>
    <w:rsid w:val="00A22CC3"/>
    <w:rsid w:val="00A53F26"/>
    <w:rsid w:val="00A64E9E"/>
    <w:rsid w:val="00AA0CC5"/>
    <w:rsid w:val="00AA1A3D"/>
    <w:rsid w:val="00AD3B1D"/>
    <w:rsid w:val="00AE54E0"/>
    <w:rsid w:val="00B14FA5"/>
    <w:rsid w:val="00B16AFE"/>
    <w:rsid w:val="00B63430"/>
    <w:rsid w:val="00B65DD5"/>
    <w:rsid w:val="00BD10B6"/>
    <w:rsid w:val="00C07076"/>
    <w:rsid w:val="00C178F6"/>
    <w:rsid w:val="00CA25A5"/>
    <w:rsid w:val="00CB00DF"/>
    <w:rsid w:val="00CD2FEF"/>
    <w:rsid w:val="00D73C72"/>
    <w:rsid w:val="00D85622"/>
    <w:rsid w:val="00DC74BF"/>
    <w:rsid w:val="00E0592B"/>
    <w:rsid w:val="00E31738"/>
    <w:rsid w:val="00E86786"/>
    <w:rsid w:val="00ED2F80"/>
    <w:rsid w:val="00F1624E"/>
    <w:rsid w:val="00F16E22"/>
    <w:rsid w:val="00F27A75"/>
    <w:rsid w:val="00F32F8A"/>
    <w:rsid w:val="00F33222"/>
    <w:rsid w:val="00F563F2"/>
    <w:rsid w:val="00F6240C"/>
    <w:rsid w:val="00F62985"/>
    <w:rsid w:val="00F70650"/>
    <w:rsid w:val="00F810AA"/>
    <w:rsid w:val="00F82B01"/>
    <w:rsid w:val="00F96C05"/>
    <w:rsid w:val="00FB43EC"/>
    <w:rsid w:val="00FB6B40"/>
    <w:rsid w:val="00FE6970"/>
    <w:rsid w:val="00FF3079"/>
    <w:rsid w:val="6B3F76C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5"/>
    <w:link w:val="4"/>
    <w:uiPriority w:val="99"/>
    <w:rPr>
      <w:rFonts w:ascii="Calibri" w:hAnsi="Calibri" w:eastAsia="宋体" w:cs="Times New Roman"/>
      <w:sz w:val="18"/>
      <w:szCs w:val="18"/>
    </w:rPr>
  </w:style>
  <w:style w:type="character" w:customStyle="1" w:styleId="8">
    <w:name w:val="页脚 字符"/>
    <w:basedOn w:val="5"/>
    <w:link w:val="3"/>
    <w:qFormat/>
    <w:uiPriority w:val="99"/>
    <w:rPr>
      <w:rFonts w:ascii="Calibri" w:hAnsi="Calibri" w:eastAsia="宋体" w:cs="Times New Roman"/>
      <w:sz w:val="18"/>
      <w:szCs w:val="18"/>
    </w:rPr>
  </w:style>
  <w:style w:type="paragraph" w:styleId="9">
    <w:name w:val="List Paragraph"/>
    <w:basedOn w:val="1"/>
    <w:qFormat/>
    <w:uiPriority w:val="34"/>
    <w:pPr>
      <w:ind w:firstLine="420" w:firstLineChars="200"/>
    </w:pPr>
  </w:style>
  <w:style w:type="character" w:customStyle="1" w:styleId="10">
    <w:name w:val="批注框文本 字符"/>
    <w:basedOn w:val="5"/>
    <w:link w:val="2"/>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1E91BB-84D4-4480-946B-C6D58A43AFF7}">
  <ds:schemaRefs/>
</ds:datastoreItem>
</file>

<file path=docProps/app.xml><?xml version="1.0" encoding="utf-8"?>
<Properties xmlns="http://schemas.openxmlformats.org/officeDocument/2006/extended-properties" xmlns:vt="http://schemas.openxmlformats.org/officeDocument/2006/docPropsVTypes">
  <Template>Normal</Template>
  <Pages>2</Pages>
  <Words>143</Words>
  <Characters>820</Characters>
  <Lines>6</Lines>
  <Paragraphs>1</Paragraphs>
  <TotalTime>0</TotalTime>
  <ScaleCrop>false</ScaleCrop>
  <LinksUpToDate>false</LinksUpToDate>
  <CharactersWithSpaces>962</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2021-06-03T03:02:00Z</dcterms:created>
  <dc:creator>陈媚</dc:creator>
  <cp:lastModifiedBy>user</cp:lastModifiedBy>
  <dcterms:modified xsi:type="dcterms:W3CDTF">2021-06-11T00:42:56Z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