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Arial" w:hAnsi="Arial" w:eastAsia="SimHei" w:cs="Arial"/>
          <w:sz w:val="30"/>
          <w:szCs w:val="30"/>
        </w:rPr>
      </w:pPr>
      <w:bookmarkStart w:id="0" w:name="_GoBack"/>
      <w:bookmarkEnd w:id="0"/>
      <w:r>
        <w:rPr>
          <w:rFonts w:ascii="Arial" w:hAnsi="Arial" w:eastAsia="SimHei" w:cs="Arial"/>
          <w:sz w:val="30"/>
          <w:szCs w:val="30"/>
        </w:rPr>
        <w:t>经营者集中简易案件公示表</w:t>
      </w:r>
    </w:p>
    <w:p>
      <w:pPr>
        <w:spacing w:line="440" w:lineRule="exact"/>
        <w:rPr>
          <w:rFonts w:ascii="Arial" w:hAnsi="Arial" w:eastAsia="SimHei" w:cs="Arial"/>
          <w:sz w:val="28"/>
          <w:szCs w:val="28"/>
        </w:rPr>
      </w:pPr>
    </w:p>
    <w:p>
      <w:pPr>
        <w:spacing w:line="440" w:lineRule="exact"/>
        <w:ind w:firstLine="845" w:firstLineChars="302"/>
        <w:rPr>
          <w:rFonts w:ascii="Arial" w:hAnsi="Arial" w:eastAsia="FangSong_GB2312" w:cs="Arial"/>
          <w:sz w:val="28"/>
          <w:szCs w:val="28"/>
        </w:rPr>
      </w:pPr>
    </w:p>
    <w:tbl>
      <w:tblPr>
        <w:tblStyle w:val="5"/>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ascii="Arial" w:hAnsi="Arial" w:eastAsia="FangSong_GB2312" w:cs="Arial"/>
                <w:sz w:val="28"/>
                <w:szCs w:val="28"/>
              </w:rPr>
            </w:pPr>
            <w:r>
              <w:rPr>
                <w:rFonts w:ascii="Arial" w:hAnsi="Arial" w:eastAsia="FangSong_GB2312" w:cs="Arial"/>
                <w:sz w:val="28"/>
                <w:szCs w:val="28"/>
              </w:rPr>
              <w:t>案件名称</w:t>
            </w:r>
          </w:p>
        </w:tc>
        <w:tc>
          <w:tcPr>
            <w:tcW w:w="6949" w:type="dxa"/>
            <w:gridSpan w:val="2"/>
          </w:tcPr>
          <w:p>
            <w:pPr>
              <w:spacing w:line="500" w:lineRule="exact"/>
              <w:rPr>
                <w:rFonts w:ascii="Arial" w:hAnsi="Arial" w:eastAsia="FangSong_GB2312" w:cs="Arial"/>
                <w:sz w:val="28"/>
                <w:szCs w:val="28"/>
              </w:rPr>
            </w:pPr>
            <w:r>
              <w:rPr>
                <w:rFonts w:hint="eastAsia" w:ascii="Arial" w:hAnsi="Arial" w:eastAsia="FangSong_GB2312" w:cs="Arial"/>
                <w:sz w:val="28"/>
                <w:szCs w:val="28"/>
              </w:rPr>
              <w:t>安大略省教师退休基金会委员会与加拿大公共部门退休金投资委员会等经营者新设合营企业案（“拟议交易”）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tcPr>
          <w:p>
            <w:pPr>
              <w:spacing w:line="500" w:lineRule="exact"/>
              <w:rPr>
                <w:rFonts w:ascii="Arial" w:hAnsi="Arial" w:eastAsia="FangSong_GB2312" w:cs="Arial"/>
                <w:sz w:val="28"/>
                <w:szCs w:val="28"/>
              </w:rPr>
            </w:pPr>
            <w:r>
              <w:rPr>
                <w:rFonts w:ascii="Arial" w:hAnsi="Arial" w:eastAsia="FangSong_GB2312" w:cs="Arial"/>
                <w:sz w:val="28"/>
                <w:szCs w:val="28"/>
              </w:rPr>
              <w:t>交易概况（限200字内）</w:t>
            </w:r>
          </w:p>
        </w:tc>
        <w:tc>
          <w:tcPr>
            <w:tcW w:w="6949" w:type="dxa"/>
            <w:gridSpan w:val="2"/>
          </w:tcPr>
          <w:p>
            <w:pPr>
              <w:spacing w:line="500" w:lineRule="exact"/>
              <w:rPr>
                <w:rFonts w:ascii="Arial" w:hAnsi="Arial" w:eastAsia="FangSong_GB2312" w:cs="Arial"/>
                <w:sz w:val="28"/>
                <w:szCs w:val="28"/>
              </w:rPr>
            </w:pPr>
            <w:r>
              <w:rPr>
                <w:rFonts w:hint="eastAsia" w:ascii="Arial" w:hAnsi="Arial" w:eastAsia="FangSong_GB2312" w:cs="Arial"/>
                <w:sz w:val="28"/>
                <w:szCs w:val="28"/>
              </w:rPr>
              <w:t>拟议交易涉及安大略省教师退休基金会委员会（“O</w:t>
            </w:r>
            <w:r>
              <w:rPr>
                <w:rFonts w:ascii="Arial" w:hAnsi="Arial" w:eastAsia="FangSong_GB2312" w:cs="Arial"/>
                <w:sz w:val="28"/>
                <w:szCs w:val="28"/>
              </w:rPr>
              <w:t>TPP</w:t>
            </w:r>
            <w:r>
              <w:rPr>
                <w:rFonts w:hint="eastAsia" w:ascii="Arial" w:hAnsi="Arial" w:eastAsia="FangSong_GB2312" w:cs="Arial"/>
                <w:sz w:val="28"/>
                <w:szCs w:val="28"/>
              </w:rPr>
              <w:t>”）、加拿大公共部门退休金投资委员会（“P</w:t>
            </w:r>
            <w:r>
              <w:rPr>
                <w:rFonts w:ascii="Arial" w:hAnsi="Arial" w:eastAsia="FangSong_GB2312" w:cs="Arial"/>
                <w:sz w:val="28"/>
                <w:szCs w:val="28"/>
              </w:rPr>
              <w:t>SPIB</w:t>
            </w:r>
            <w:r>
              <w:rPr>
                <w:rFonts w:hint="eastAsia" w:ascii="Arial" w:hAnsi="Arial" w:eastAsia="FangSong_GB2312" w:cs="Arial"/>
                <w:sz w:val="28"/>
                <w:szCs w:val="28"/>
              </w:rPr>
              <w:t>”）和Long Harbour控股有限公司（“Long</w:t>
            </w:r>
            <w:r>
              <w:rPr>
                <w:rFonts w:ascii="Arial" w:hAnsi="Arial" w:eastAsia="FangSong_GB2312" w:cs="Arial"/>
                <w:sz w:val="28"/>
                <w:szCs w:val="28"/>
              </w:rPr>
              <w:t xml:space="preserve"> Harbour</w:t>
            </w:r>
            <w:r>
              <w:rPr>
                <w:rFonts w:hint="eastAsia" w:ascii="Arial" w:hAnsi="Arial" w:eastAsia="FangSong_GB2312" w:cs="Arial"/>
                <w:sz w:val="28"/>
                <w:szCs w:val="28"/>
              </w:rPr>
              <w:t>”）新设合营企业。合营企业具体将由一家新成立的有限合伙企业和一家新成立的公司组成，该公司将担任有限合伙企业的普通合伙人。拟议交易完成后，合营企业将由OTPP、PSPIB和Long Harbour共同控制。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tcPr>
          <w:p>
            <w:pPr>
              <w:spacing w:line="500" w:lineRule="exact"/>
              <w:rPr>
                <w:rFonts w:ascii="Arial" w:hAnsi="Arial" w:eastAsia="FangSong_GB2312" w:cs="Arial"/>
                <w:sz w:val="28"/>
                <w:szCs w:val="28"/>
              </w:rPr>
            </w:pPr>
            <w:r>
              <w:rPr>
                <w:rFonts w:ascii="Arial" w:hAnsi="Arial" w:eastAsia="FangSong_GB2312" w:cs="Arial"/>
                <w:sz w:val="28"/>
                <w:szCs w:val="28"/>
              </w:rPr>
              <w:t>参与集中的经营者简介</w:t>
            </w:r>
          </w:p>
        </w:tc>
        <w:tc>
          <w:tcPr>
            <w:tcW w:w="1796" w:type="dxa"/>
          </w:tcPr>
          <w:p>
            <w:pPr>
              <w:spacing w:line="500" w:lineRule="exact"/>
              <w:jc w:val="left"/>
              <w:rPr>
                <w:rFonts w:ascii="Arial" w:hAnsi="Arial" w:eastAsia="FangSong_GB2312" w:cs="Arial"/>
                <w:sz w:val="28"/>
                <w:szCs w:val="28"/>
              </w:rPr>
            </w:pPr>
            <w:r>
              <w:rPr>
                <w:rFonts w:ascii="Arial" w:hAnsi="Arial" w:eastAsia="FangSong_GB2312" w:cs="Arial"/>
                <w:sz w:val="28"/>
                <w:szCs w:val="28"/>
              </w:rPr>
              <w:t>1.</w:t>
            </w:r>
            <w:r>
              <w:rPr>
                <w:rFonts w:hint="eastAsia"/>
              </w:rPr>
              <w:t xml:space="preserve"> </w:t>
            </w:r>
            <w:r>
              <w:rPr>
                <w:rFonts w:ascii="Arial" w:hAnsi="Arial" w:eastAsia="FangSong_GB2312" w:cs="Arial"/>
                <w:sz w:val="28"/>
                <w:szCs w:val="28"/>
              </w:rPr>
              <w:t>OTPP</w:t>
            </w:r>
          </w:p>
        </w:tc>
        <w:tc>
          <w:tcPr>
            <w:tcW w:w="5153" w:type="dxa"/>
          </w:tcPr>
          <w:p>
            <w:pPr>
              <w:spacing w:line="500" w:lineRule="exact"/>
              <w:rPr>
                <w:rFonts w:ascii="Arial" w:hAnsi="Arial" w:eastAsia="FangSong_GB2312" w:cs="Arial"/>
                <w:sz w:val="28"/>
                <w:szCs w:val="28"/>
              </w:rPr>
            </w:pPr>
            <w:r>
              <w:rPr>
                <w:rFonts w:hint="eastAsia" w:ascii="Arial" w:hAnsi="Arial" w:eastAsia="FangSong_GB2312" w:cs="Arial"/>
                <w:sz w:val="28"/>
                <w:szCs w:val="28"/>
              </w:rPr>
              <w:t>OTPP设立于1990年1月1日，是加拿大最大的单一型专业化退休金计划机构，其注册地址位于</w:t>
            </w:r>
            <w:r>
              <w:rPr>
                <w:rFonts w:ascii="Arial" w:hAnsi="Arial" w:eastAsia="FangSong_GB2312" w:cs="Arial"/>
                <w:sz w:val="28"/>
                <w:szCs w:val="28"/>
              </w:rPr>
              <w:t>加拿大多伦多荣格路5650号</w:t>
            </w:r>
            <w:r>
              <w:rPr>
                <w:rFonts w:hint="eastAsia" w:ascii="Arial" w:hAnsi="Arial" w:eastAsia="FangSong_GB2312" w:cs="Arial"/>
                <w:sz w:val="28"/>
                <w:szCs w:val="28"/>
              </w:rPr>
              <w:t>。OTPP负责代表加拿大安大略省约331,000名在职及退休教师管理退休金收益并对退休金计划资产进行投资。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tcPr>
          <w:p>
            <w:pPr>
              <w:spacing w:line="500" w:lineRule="exact"/>
              <w:rPr>
                <w:rFonts w:ascii="Arial" w:hAnsi="Arial" w:eastAsia="FangSong_GB2312" w:cs="Arial"/>
                <w:sz w:val="28"/>
                <w:szCs w:val="28"/>
              </w:rPr>
            </w:pPr>
          </w:p>
        </w:tc>
        <w:tc>
          <w:tcPr>
            <w:tcW w:w="1796" w:type="dxa"/>
          </w:tcPr>
          <w:p>
            <w:pPr>
              <w:spacing w:line="500" w:lineRule="exact"/>
              <w:jc w:val="left"/>
              <w:rPr>
                <w:rFonts w:ascii="Arial" w:hAnsi="Arial" w:eastAsia="FangSong_GB2312" w:cs="Arial"/>
                <w:sz w:val="28"/>
                <w:szCs w:val="28"/>
              </w:rPr>
            </w:pPr>
            <w:r>
              <w:rPr>
                <w:rFonts w:hint="eastAsia" w:ascii="Arial" w:hAnsi="Arial" w:eastAsia="FangSong_GB2312" w:cs="Arial"/>
                <w:sz w:val="28"/>
                <w:szCs w:val="28"/>
              </w:rPr>
              <w:t>2</w:t>
            </w:r>
            <w:r>
              <w:rPr>
                <w:rFonts w:ascii="Arial" w:hAnsi="Arial" w:eastAsia="FangSong_GB2312" w:cs="Arial"/>
                <w:sz w:val="28"/>
                <w:szCs w:val="28"/>
              </w:rPr>
              <w:t xml:space="preserve">. </w:t>
            </w:r>
            <w:r>
              <w:rPr>
                <w:rFonts w:hint="eastAsia" w:ascii="Arial" w:hAnsi="Arial" w:eastAsia="FangSong_GB2312" w:cs="Arial"/>
                <w:sz w:val="28"/>
                <w:szCs w:val="28"/>
              </w:rPr>
              <w:t>P</w:t>
            </w:r>
            <w:r>
              <w:rPr>
                <w:rFonts w:ascii="Arial" w:hAnsi="Arial" w:eastAsia="FangSong_GB2312" w:cs="Arial"/>
                <w:sz w:val="28"/>
                <w:szCs w:val="28"/>
              </w:rPr>
              <w:t>SPIB</w:t>
            </w:r>
          </w:p>
        </w:tc>
        <w:tc>
          <w:tcPr>
            <w:tcW w:w="5153" w:type="dxa"/>
          </w:tcPr>
          <w:p>
            <w:pPr>
              <w:spacing w:line="500" w:lineRule="exact"/>
              <w:rPr>
                <w:rFonts w:ascii="Arial" w:hAnsi="Arial" w:eastAsia="FangSong_GB2312" w:cs="Arial"/>
                <w:sz w:val="28"/>
                <w:szCs w:val="28"/>
              </w:rPr>
            </w:pPr>
            <w:r>
              <w:rPr>
                <w:rFonts w:hint="eastAsia" w:ascii="Arial" w:hAnsi="Arial" w:eastAsia="FangSong_GB2312" w:cs="Arial"/>
                <w:sz w:val="28"/>
                <w:szCs w:val="28"/>
              </w:rPr>
              <w:t>P</w:t>
            </w:r>
            <w:r>
              <w:rPr>
                <w:rFonts w:ascii="Arial" w:hAnsi="Arial" w:eastAsia="FangSong_GB2312" w:cs="Arial"/>
                <w:sz w:val="28"/>
                <w:szCs w:val="28"/>
              </w:rPr>
              <w:t>SPIB</w:t>
            </w:r>
            <w:r>
              <w:rPr>
                <w:rFonts w:hint="eastAsia" w:ascii="Arial" w:hAnsi="Arial" w:eastAsia="FangSong_GB2312" w:cs="Arial"/>
                <w:sz w:val="28"/>
                <w:szCs w:val="28"/>
              </w:rPr>
              <w:t>是</w:t>
            </w:r>
            <w:r>
              <w:rPr>
                <w:rFonts w:hint="eastAsia" w:ascii="FangSong_GB2312" w:hAnsi="FangSong" w:eastAsia="FangSong_GB2312" w:cs="Arial"/>
                <w:sz w:val="28"/>
                <w:szCs w:val="28"/>
              </w:rPr>
              <w:t>一家于</w:t>
            </w:r>
            <w:r>
              <w:rPr>
                <w:rFonts w:ascii="Arial" w:hAnsi="Arial" w:eastAsia="FangSong_GB2312" w:cs="Arial"/>
                <w:sz w:val="28"/>
                <w:szCs w:val="28"/>
              </w:rPr>
              <w:t>1999年9月14日</w:t>
            </w:r>
            <w:r>
              <w:rPr>
                <w:rFonts w:hint="eastAsia" w:ascii="FangSong_GB2312" w:hAnsi="FangSong" w:eastAsia="FangSong_GB2312" w:cs="Arial"/>
                <w:sz w:val="28"/>
                <w:szCs w:val="28"/>
              </w:rPr>
              <w:t>由加拿大国会</w:t>
            </w:r>
            <w:r>
              <w:rPr>
                <w:rFonts w:hint="eastAsia" w:ascii="FangSong_GB2312" w:hAnsi="FangSong" w:eastAsia="FangSong_GB2312" w:cs="Arial"/>
                <w:color w:val="000000"/>
                <w:sz w:val="28"/>
                <w:szCs w:val="28"/>
              </w:rPr>
              <w:t>依据《公共部门养老金投资委员会法案》</w:t>
            </w:r>
            <w:r>
              <w:rPr>
                <w:rFonts w:hint="eastAsia" w:ascii="FangSong_GB2312" w:hAnsi="FangSong" w:eastAsia="FangSong_GB2312" w:cs="Arial"/>
                <w:sz w:val="28"/>
                <w:szCs w:val="28"/>
              </w:rPr>
              <w:t>设</w:t>
            </w:r>
            <w:r>
              <w:rPr>
                <w:rFonts w:hint="eastAsia" w:ascii="FangSong_GB2312" w:hAnsi="Arial" w:eastAsia="FangSong_GB2312" w:cs="Arial"/>
                <w:sz w:val="28"/>
                <w:szCs w:val="28"/>
              </w:rPr>
              <w:t>立的加拿大皇家公司，公司注册地址位于</w:t>
            </w:r>
            <w:r>
              <w:rPr>
                <w:rFonts w:hint="eastAsia" w:ascii="FangSong_GB2312" w:hAnsi="Arial" w:eastAsia="FangSong_GB2312" w:cs="Arial"/>
                <w:color w:val="000000"/>
                <w:sz w:val="28"/>
                <w:szCs w:val="28"/>
              </w:rPr>
              <w:t>加拿大</w:t>
            </w:r>
            <w:r>
              <w:rPr>
                <w:rFonts w:ascii="Arial" w:hAnsi="Arial" w:eastAsia="FangSong_GB2312" w:cs="Arial"/>
                <w:color w:val="000000"/>
                <w:sz w:val="28"/>
                <w:szCs w:val="28"/>
              </w:rPr>
              <w:t>魁北克省蒙特利尔市1250 René Lévesque西大街1250号， Suite 1400</w:t>
            </w:r>
            <w:r>
              <w:rPr>
                <w:rFonts w:ascii="Arial" w:hAnsi="Arial" w:eastAsia="FangSong_GB2312" w:cs="Arial"/>
                <w:sz w:val="28"/>
                <w:szCs w:val="28"/>
              </w:rPr>
              <w:t>。PSPIB在</w:t>
            </w:r>
            <w:r>
              <w:rPr>
                <w:rFonts w:hint="eastAsia" w:ascii="FangSong_GB2312" w:hAnsi="Arial" w:eastAsia="FangSong_GB2312" w:cs="Arial"/>
                <w:sz w:val="28"/>
                <w:szCs w:val="28"/>
              </w:rPr>
              <w:t>全球范围内管理多样化的投资组合，包括股票，债券和其他固定收益证券，以及私募股权、房地产、基础设施、自然资源和私人债务</w:t>
            </w:r>
            <w:r>
              <w:rPr>
                <w:rFonts w:hint="eastAsia" w:ascii="Arial" w:hAnsi="Arial" w:eastAsia="FangSong_GB2312" w:cs="Arial"/>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tcPr>
          <w:p>
            <w:pPr>
              <w:spacing w:line="500" w:lineRule="exact"/>
              <w:rPr>
                <w:rFonts w:ascii="Arial" w:hAnsi="Arial" w:eastAsia="FangSong_GB2312" w:cs="Arial"/>
                <w:sz w:val="28"/>
                <w:szCs w:val="28"/>
              </w:rPr>
            </w:pPr>
          </w:p>
        </w:tc>
        <w:tc>
          <w:tcPr>
            <w:tcW w:w="1796" w:type="dxa"/>
          </w:tcPr>
          <w:p>
            <w:pPr>
              <w:spacing w:line="500" w:lineRule="exact"/>
              <w:jc w:val="left"/>
              <w:rPr>
                <w:rFonts w:ascii="Arial" w:hAnsi="Arial" w:eastAsia="FangSong_GB2312" w:cs="Arial"/>
                <w:sz w:val="28"/>
                <w:szCs w:val="28"/>
              </w:rPr>
            </w:pPr>
            <w:r>
              <w:rPr>
                <w:rFonts w:ascii="Arial" w:hAnsi="Arial" w:eastAsia="FangSong_GB2312" w:cs="Arial"/>
                <w:sz w:val="28"/>
                <w:szCs w:val="28"/>
              </w:rPr>
              <w:t xml:space="preserve">3. </w:t>
            </w:r>
            <w:r>
              <w:rPr>
                <w:rFonts w:hint="eastAsia" w:ascii="Arial" w:hAnsi="Arial" w:eastAsia="FangSong_GB2312" w:cs="Arial"/>
                <w:sz w:val="28"/>
                <w:szCs w:val="28"/>
              </w:rPr>
              <w:t>L</w:t>
            </w:r>
            <w:r>
              <w:rPr>
                <w:rFonts w:ascii="Arial" w:hAnsi="Arial" w:eastAsia="FangSong_GB2312" w:cs="Arial"/>
                <w:sz w:val="28"/>
                <w:szCs w:val="28"/>
              </w:rPr>
              <w:t>ong Harbour</w:t>
            </w:r>
          </w:p>
        </w:tc>
        <w:tc>
          <w:tcPr>
            <w:tcW w:w="5153" w:type="dxa"/>
          </w:tcPr>
          <w:p>
            <w:pPr>
              <w:spacing w:line="500" w:lineRule="exact"/>
              <w:rPr>
                <w:rFonts w:ascii="Arial" w:hAnsi="Arial" w:eastAsia="FangSong_GB2312" w:cs="Arial"/>
                <w:sz w:val="28"/>
                <w:szCs w:val="28"/>
              </w:rPr>
            </w:pPr>
            <w:r>
              <w:rPr>
                <w:rFonts w:hint="eastAsia" w:ascii="Arial" w:hAnsi="Arial" w:eastAsia="FangSong_GB2312" w:cs="Arial"/>
                <w:sz w:val="28"/>
                <w:szCs w:val="28"/>
              </w:rPr>
              <w:t>L</w:t>
            </w:r>
            <w:r>
              <w:rPr>
                <w:rFonts w:ascii="Arial" w:hAnsi="Arial" w:eastAsia="FangSong_GB2312" w:cs="Arial"/>
                <w:sz w:val="28"/>
                <w:szCs w:val="28"/>
              </w:rPr>
              <w:t>ong Harbour成立于2013年3月13日，公司注册地址位于</w:t>
            </w:r>
            <w:r>
              <w:rPr>
                <w:rFonts w:hint="eastAsia" w:ascii="Arial" w:hAnsi="Arial" w:eastAsia="FangSong_GB2312" w:cs="Arial"/>
                <w:sz w:val="28"/>
                <w:szCs w:val="28"/>
              </w:rPr>
              <w:t>英国伦敦新交易巷一号</w:t>
            </w:r>
            <w:r>
              <w:rPr>
                <w:rFonts w:ascii="Arial" w:hAnsi="Arial" w:eastAsia="FangSong_GB2312" w:cs="Arial"/>
                <w:sz w:val="28"/>
                <w:szCs w:val="28"/>
              </w:rPr>
              <w:t>（One New Change, London, United Kingdom, EC4M 9AF）是 Long Harbour集团的控股公司。Long Harbour集团</w:t>
            </w:r>
            <w:r>
              <w:rPr>
                <w:rFonts w:hint="eastAsia" w:ascii="Arial" w:hAnsi="Arial" w:eastAsia="FangSong_GB2312" w:cs="Arial"/>
                <w:sz w:val="28"/>
                <w:szCs w:val="28"/>
              </w:rPr>
              <w:t>主要从事不动产和基础设施投资与管理业务。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tcPr>
          <w:p>
            <w:pPr>
              <w:spacing w:line="500" w:lineRule="exact"/>
              <w:rPr>
                <w:rFonts w:ascii="Arial" w:hAnsi="Arial" w:eastAsia="FangSong_GB2312" w:cs="Arial"/>
                <w:sz w:val="28"/>
                <w:szCs w:val="28"/>
              </w:rPr>
            </w:pPr>
            <w:r>
              <w:rPr>
                <w:rFonts w:ascii="Arial" w:hAnsi="Arial" w:eastAsia="FangSong_GB2312" w:cs="Arial"/>
                <w:sz w:val="28"/>
                <w:szCs w:val="28"/>
              </w:rPr>
              <w:t>简易案件理由（可以单选，也可以多选）</w:t>
            </w:r>
          </w:p>
        </w:tc>
        <w:tc>
          <w:tcPr>
            <w:tcW w:w="6949" w:type="dxa"/>
            <w:gridSpan w:val="2"/>
          </w:tcPr>
          <w:p>
            <w:pPr>
              <w:spacing w:line="500" w:lineRule="exact"/>
              <w:rPr>
                <w:rFonts w:ascii="Arial" w:hAnsi="Arial" w:eastAsia="FangSong_GB2312" w:cs="Arial"/>
                <w:sz w:val="28"/>
                <w:szCs w:val="28"/>
              </w:rPr>
            </w:pPr>
            <w:r>
              <w:rPr>
                <w:rFonts w:ascii="Arial" w:hAnsi="Arial" w:eastAsia="FangSong_GB2312" w:cs="Arial"/>
                <w:sz w:val="28"/>
                <w:szCs w:val="28"/>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spacing w:line="500" w:lineRule="exact"/>
              <w:rPr>
                <w:rFonts w:ascii="Arial" w:hAnsi="Arial" w:eastAsia="FangSong_GB2312" w:cs="Arial"/>
                <w:sz w:val="28"/>
                <w:szCs w:val="28"/>
              </w:rPr>
            </w:pPr>
          </w:p>
        </w:tc>
        <w:tc>
          <w:tcPr>
            <w:tcW w:w="6949" w:type="dxa"/>
            <w:gridSpan w:val="2"/>
          </w:tcPr>
          <w:p>
            <w:pPr>
              <w:spacing w:line="500" w:lineRule="exact"/>
              <w:rPr>
                <w:rFonts w:ascii="Arial" w:hAnsi="Arial" w:eastAsia="FangSong_GB2312" w:cs="Arial"/>
                <w:sz w:val="28"/>
                <w:szCs w:val="28"/>
              </w:rPr>
            </w:pPr>
            <w:r>
              <w:rPr>
                <w:rFonts w:ascii="Arial" w:hAnsi="Arial" w:eastAsia="FangSong_GB2312" w:cs="Arial"/>
                <w:sz w:val="28"/>
                <w:szCs w:val="28"/>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spacing w:line="500" w:lineRule="exact"/>
              <w:rPr>
                <w:rFonts w:ascii="Arial" w:hAnsi="Arial" w:eastAsia="FangSong_GB2312" w:cs="Arial"/>
                <w:sz w:val="28"/>
                <w:szCs w:val="28"/>
              </w:rPr>
            </w:pPr>
          </w:p>
        </w:tc>
        <w:tc>
          <w:tcPr>
            <w:tcW w:w="6949" w:type="dxa"/>
            <w:gridSpan w:val="2"/>
          </w:tcPr>
          <w:p>
            <w:pPr>
              <w:spacing w:line="500" w:lineRule="exact"/>
              <w:rPr>
                <w:rFonts w:ascii="Arial" w:hAnsi="Arial" w:eastAsia="FangSong_GB2312" w:cs="Arial"/>
                <w:sz w:val="28"/>
                <w:szCs w:val="28"/>
              </w:rPr>
            </w:pPr>
            <w:r>
              <w:rPr>
                <w:rFonts w:ascii="Arial" w:hAnsi="Arial" w:eastAsia="FangSong_GB2312" w:cs="Arial"/>
                <w:sz w:val="28"/>
                <w:szCs w:val="28"/>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tcPr>
          <w:p>
            <w:pPr>
              <w:spacing w:line="500" w:lineRule="exact"/>
              <w:rPr>
                <w:rFonts w:ascii="Arial" w:hAnsi="Arial" w:eastAsia="FangSong_GB2312" w:cs="Arial"/>
                <w:sz w:val="28"/>
                <w:szCs w:val="28"/>
              </w:rPr>
            </w:pPr>
          </w:p>
        </w:tc>
        <w:tc>
          <w:tcPr>
            <w:tcW w:w="6949" w:type="dxa"/>
            <w:gridSpan w:val="2"/>
          </w:tcPr>
          <w:p>
            <w:pPr>
              <w:spacing w:line="500" w:lineRule="exact"/>
              <w:rPr>
                <w:rFonts w:ascii="Arial" w:hAnsi="Arial" w:eastAsia="FangSong_GB2312" w:cs="Arial"/>
                <w:sz w:val="28"/>
                <w:szCs w:val="28"/>
              </w:rPr>
            </w:pPr>
            <w:r>
              <w:rPr>
                <w:rFonts w:ascii="Arial" w:hAnsi="Arial" w:eastAsia="FangSong" w:cs="Arial"/>
                <w:sz w:val="28"/>
                <w:szCs w:val="28"/>
              </w:rPr>
              <w:sym w:font="Wingdings" w:char="F0FE"/>
            </w:r>
            <w:r>
              <w:rPr>
                <w:rFonts w:ascii="Arial" w:hAnsi="Arial" w:eastAsia="FangSong_GB2312" w:cs="Arial"/>
                <w:sz w:val="28"/>
                <w:szCs w:val="28"/>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spacing w:line="500" w:lineRule="exact"/>
              <w:rPr>
                <w:rFonts w:ascii="Arial" w:hAnsi="Arial" w:eastAsia="FangSong_GB2312" w:cs="Arial"/>
                <w:sz w:val="28"/>
                <w:szCs w:val="28"/>
              </w:rPr>
            </w:pPr>
          </w:p>
        </w:tc>
        <w:tc>
          <w:tcPr>
            <w:tcW w:w="6949" w:type="dxa"/>
            <w:gridSpan w:val="2"/>
          </w:tcPr>
          <w:p>
            <w:pPr>
              <w:spacing w:line="500" w:lineRule="exact"/>
              <w:rPr>
                <w:rFonts w:ascii="Arial" w:hAnsi="Arial" w:eastAsia="FangSong_GB2312" w:cs="Arial"/>
                <w:sz w:val="28"/>
                <w:szCs w:val="28"/>
              </w:rPr>
            </w:pPr>
            <w:r>
              <w:rPr>
                <w:rFonts w:ascii="Arial" w:hAnsi="Arial" w:eastAsia="FangSong_GB2312" w:cs="Arial"/>
                <w:sz w:val="28"/>
                <w:szCs w:val="28"/>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spacing w:line="500" w:lineRule="exact"/>
              <w:rPr>
                <w:rFonts w:ascii="Arial" w:hAnsi="Arial" w:eastAsia="FangSong_GB2312" w:cs="Arial"/>
                <w:sz w:val="28"/>
                <w:szCs w:val="28"/>
              </w:rPr>
            </w:pPr>
          </w:p>
        </w:tc>
        <w:tc>
          <w:tcPr>
            <w:tcW w:w="6949" w:type="dxa"/>
            <w:gridSpan w:val="2"/>
          </w:tcPr>
          <w:p>
            <w:pPr>
              <w:spacing w:line="500" w:lineRule="exact"/>
              <w:rPr>
                <w:rFonts w:ascii="Arial" w:hAnsi="Arial" w:eastAsia="FangSong_GB2312" w:cs="Arial"/>
                <w:sz w:val="28"/>
                <w:szCs w:val="28"/>
              </w:rPr>
            </w:pPr>
            <w:r>
              <w:rPr>
                <w:rFonts w:ascii="Arial" w:hAnsi="Arial" w:eastAsia="FangSong_GB2312" w:cs="Arial"/>
                <w:sz w:val="28"/>
                <w:szCs w:val="28"/>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ascii="Arial" w:hAnsi="Arial" w:eastAsia="FangSong_GB2312" w:cs="Arial"/>
                <w:sz w:val="28"/>
                <w:szCs w:val="28"/>
              </w:rPr>
            </w:pPr>
            <w:r>
              <w:rPr>
                <w:rFonts w:ascii="Arial" w:hAnsi="Arial" w:eastAsia="FangSong_GB2312" w:cs="Arial"/>
                <w:sz w:val="28"/>
                <w:szCs w:val="28"/>
              </w:rPr>
              <w:t>备注</w:t>
            </w:r>
          </w:p>
        </w:tc>
        <w:tc>
          <w:tcPr>
            <w:tcW w:w="6949" w:type="dxa"/>
            <w:gridSpan w:val="2"/>
          </w:tcPr>
          <w:p>
            <w:pPr>
              <w:spacing w:line="500" w:lineRule="exact"/>
              <w:rPr>
                <w:rFonts w:ascii="Arial" w:hAnsi="Arial" w:eastAsia="FangSong_GB2312" w:cs="Arial"/>
                <w:sz w:val="28"/>
                <w:szCs w:val="28"/>
              </w:rPr>
            </w:pPr>
            <w:r>
              <w:rPr>
                <w:rFonts w:hint="eastAsia" w:ascii="Arial" w:hAnsi="Arial" w:eastAsia="FangSong_GB2312" w:cs="Arial"/>
                <w:sz w:val="28"/>
                <w:szCs w:val="28"/>
              </w:rPr>
              <w:t>不适用。</w:t>
            </w:r>
          </w:p>
        </w:tc>
      </w:tr>
    </w:tbl>
    <w:p>
      <w:pPr>
        <w:rPr>
          <w:rFonts w:ascii="Arial" w:hAnsi="Arial" w:cs="Aria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2010600030101010101"/>
    <w:charset w:val="86"/>
    <w:family w:val="auto"/>
    <w:pitch w:val="default"/>
    <w:sig w:usb0="00000000" w:usb1="0000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Arial">
    <w:altName w:val="Times New Roman"/>
    <w:panose1 w:val="020B0604020202020204"/>
    <w:charset w:val="00"/>
    <w:family w:val="swiss"/>
    <w:pitch w:val="default"/>
    <w:sig w:usb0="00000000" w:usb1="00000000" w:usb2="00000009" w:usb3="00000000" w:csb0="000001FF" w:csb1="00000000"/>
  </w:font>
  <w:font w:name="SimHei">
    <w:panose1 w:val="02010609060101010101"/>
    <w:charset w:val="86"/>
    <w:family w:val="modern"/>
    <w:pitch w:val="default"/>
    <w:sig w:usb0="800002BF" w:usb1="38CF7CFA" w:usb2="00000016" w:usb3="00000000" w:csb0="00040001" w:csb1="00000000"/>
  </w:font>
  <w:font w:name="FangSong_GB2312">
    <w:panose1 w:val="02010609030101010101"/>
    <w:charset w:val="86"/>
    <w:family w:val="modern"/>
    <w:pitch w:val="default"/>
    <w:sig w:usb0="00000001" w:usb1="080E0000" w:usb2="00000000" w:usb3="00000000" w:csb0="00040000" w:csb1="00000000"/>
  </w:font>
  <w:font w:name="FangSong">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doNotTrackMoves/>
  <w:doNotTrackFormatting/>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24AA8"/>
    <w:rsid w:val="00094095"/>
    <w:rsid w:val="000B17F2"/>
    <w:rsid w:val="000F162A"/>
    <w:rsid w:val="00107B66"/>
    <w:rsid w:val="00144ADC"/>
    <w:rsid w:val="001451B6"/>
    <w:rsid w:val="001D20CC"/>
    <w:rsid w:val="001F1084"/>
    <w:rsid w:val="00245776"/>
    <w:rsid w:val="00280E35"/>
    <w:rsid w:val="0029549A"/>
    <w:rsid w:val="002A3524"/>
    <w:rsid w:val="002B6414"/>
    <w:rsid w:val="002D5B9E"/>
    <w:rsid w:val="002F2D60"/>
    <w:rsid w:val="00307976"/>
    <w:rsid w:val="003C5B74"/>
    <w:rsid w:val="003D335B"/>
    <w:rsid w:val="00440D23"/>
    <w:rsid w:val="00462174"/>
    <w:rsid w:val="0046385D"/>
    <w:rsid w:val="004647D8"/>
    <w:rsid w:val="00527565"/>
    <w:rsid w:val="0057063F"/>
    <w:rsid w:val="00574AD1"/>
    <w:rsid w:val="005A1B74"/>
    <w:rsid w:val="005D4D3E"/>
    <w:rsid w:val="005F167B"/>
    <w:rsid w:val="006419F3"/>
    <w:rsid w:val="00654332"/>
    <w:rsid w:val="0065609F"/>
    <w:rsid w:val="006B73C1"/>
    <w:rsid w:val="006F1BAB"/>
    <w:rsid w:val="00720ACE"/>
    <w:rsid w:val="00756C09"/>
    <w:rsid w:val="00785ECC"/>
    <w:rsid w:val="00832A3D"/>
    <w:rsid w:val="0084563C"/>
    <w:rsid w:val="00907A36"/>
    <w:rsid w:val="00950A88"/>
    <w:rsid w:val="009759D7"/>
    <w:rsid w:val="00987276"/>
    <w:rsid w:val="009E4DEB"/>
    <w:rsid w:val="00A401CD"/>
    <w:rsid w:val="00A45217"/>
    <w:rsid w:val="00A61828"/>
    <w:rsid w:val="00A73357"/>
    <w:rsid w:val="00AA74C7"/>
    <w:rsid w:val="00AB6C08"/>
    <w:rsid w:val="00AD7CE1"/>
    <w:rsid w:val="00AF4C40"/>
    <w:rsid w:val="00B955F5"/>
    <w:rsid w:val="00BA0750"/>
    <w:rsid w:val="00BA2578"/>
    <w:rsid w:val="00BB2377"/>
    <w:rsid w:val="00BB42CE"/>
    <w:rsid w:val="00BB5F6B"/>
    <w:rsid w:val="00BC25CC"/>
    <w:rsid w:val="00BC2C0A"/>
    <w:rsid w:val="00BD22CA"/>
    <w:rsid w:val="00C02190"/>
    <w:rsid w:val="00C52B80"/>
    <w:rsid w:val="00C72DB4"/>
    <w:rsid w:val="00C9068E"/>
    <w:rsid w:val="00CF5E8E"/>
    <w:rsid w:val="00D21777"/>
    <w:rsid w:val="00D452A9"/>
    <w:rsid w:val="00D606EF"/>
    <w:rsid w:val="00DA0E35"/>
    <w:rsid w:val="00DC7B3A"/>
    <w:rsid w:val="00E00FFE"/>
    <w:rsid w:val="00E677B7"/>
    <w:rsid w:val="00E86B16"/>
    <w:rsid w:val="00ED21B1"/>
    <w:rsid w:val="00EE7908"/>
    <w:rsid w:val="00F04D09"/>
    <w:rsid w:val="00F25048"/>
    <w:rsid w:val="00F65523"/>
    <w:rsid w:val="00F87C1F"/>
    <w:rsid w:val="00FC61D6"/>
    <w:rsid w:val="00FE787E"/>
    <w:rsid w:val="772F595B"/>
  </w:rsids>
  <m:mathPr>
    <m:mathFont m:val="Cambria Math"/>
    <m:brkBin m:val="before"/>
    <m:brkBinSub m:val="--"/>
    <m:smallFrac m:val="1"/>
    <m:dispDef/>
    <m:lMargin m:val="0"/>
    <m:rMargin m:val="0"/>
    <m:defJc m:val="centerGroup"/>
    <m:wrapIndent m:val="1440"/>
    <m:intLim m:val="subSup"/>
    <m:naryLim m:val="undOvr"/>
  </m:mathPr>
  <w:doNotAutoCompressPictures/>
  <w:themeFontLang w:val="en-GB"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endnote text"/>
    <w:basedOn w:val="1"/>
    <w:link w:val="9"/>
    <w:semiHidden/>
    <w:unhideWhenUsed/>
    <w:qFormat/>
    <w:uiPriority w:val="99"/>
    <w:pPr>
      <w:snapToGrid w:val="0"/>
      <w:jc w:val="left"/>
    </w:pPr>
  </w:style>
  <w:style w:type="paragraph" w:styleId="3">
    <w:name w:val="footer"/>
    <w:basedOn w:val="1"/>
    <w:link w:val="11"/>
    <w:unhideWhenUsed/>
    <w:uiPriority w:val="99"/>
    <w:pPr>
      <w:tabs>
        <w:tab w:val="center" w:pos="4153"/>
        <w:tab w:val="right" w:pos="8306"/>
      </w:tabs>
      <w:snapToGrid w:val="0"/>
      <w:jc w:val="left"/>
    </w:pPr>
    <w:rPr>
      <w:sz w:val="18"/>
      <w:szCs w:val="18"/>
    </w:rPr>
  </w:style>
  <w:style w:type="paragraph" w:styleId="4">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endnote reference"/>
    <w:semiHidden/>
    <w:unhideWhenUsed/>
    <w:qFormat/>
    <w:uiPriority w:val="99"/>
    <w:rPr>
      <w:vertAlign w:val="superscript"/>
    </w:rPr>
  </w:style>
  <w:style w:type="character" w:customStyle="1" w:styleId="9">
    <w:name w:val="Endnote Text Char"/>
    <w:basedOn w:val="7"/>
    <w:link w:val="2"/>
    <w:semiHidden/>
    <w:qFormat/>
    <w:uiPriority w:val="99"/>
  </w:style>
  <w:style w:type="character" w:customStyle="1" w:styleId="10">
    <w:name w:val="Header Char"/>
    <w:link w:val="4"/>
    <w:uiPriority w:val="99"/>
    <w:rPr>
      <w:sz w:val="18"/>
      <w:szCs w:val="18"/>
    </w:rPr>
  </w:style>
  <w:style w:type="character" w:customStyle="1" w:styleId="11">
    <w:name w:val="Footer Char"/>
    <w:link w:val="3"/>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477</Words>
  <Characters>588</Characters>
  <Lines>42</Lines>
  <Paragraphs>22</Paragraphs>
  <TotalTime>109</TotalTime>
  <ScaleCrop>false</ScaleCrop>
  <LinksUpToDate>false</LinksUpToDate>
  <CharactersWithSpaces>1043</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2014-10-08T11:52:00Z</dcterms:created>
  <dc:creator>dell</dc:creator>
  <cp:lastModifiedBy>greatwall</cp:lastModifiedBy>
  <cp:lastPrinted>2014-10-08T10:48:00Z</cp:lastPrinted>
  <dcterms:modified xsi:type="dcterms:W3CDTF">2021-06-25T08:37:02Z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A44980324</vt:lpwstr>
  </property>
  <property fmtid="{D5CDD505-2E9C-101B-9397-08002B2CF9AE}" pid="3" name="Version">
    <vt:lpwstr>0.1</vt:lpwstr>
  </property>
  <property fmtid="{D5CDD505-2E9C-101B-9397-08002B2CF9AE}" pid="4" name="Last Modified">
    <vt:lpwstr>21 Jun 2021</vt:lpwstr>
  </property>
  <property fmtid="{D5CDD505-2E9C-101B-9397-08002B2CF9AE}" pid="5" name="Matter Number">
    <vt:lpwstr>L-310844</vt:lpwstr>
  </property>
  <property fmtid="{D5CDD505-2E9C-101B-9397-08002B2CF9AE}" pid="6" name="Client Code">
    <vt:lpwstr>10388235</vt:lpwstr>
  </property>
  <property fmtid="{D5CDD505-2E9C-101B-9397-08002B2CF9AE}" pid="7" name="Mode">
    <vt:lpwstr>SendAs</vt:lpwstr>
  </property>
  <property fmtid="{D5CDD505-2E9C-101B-9397-08002B2CF9AE}" pid="8" name="DEDocumentLocation">
    <vt:lpwstr>C:\Users\qhu\AppData\Local\Linklaters\DocExplorer\Attachments\A44980324 v0.1 Rock_Simple Case Publicity Form_CHN.docx</vt:lpwstr>
  </property>
  <property fmtid="{D5CDD505-2E9C-101B-9397-08002B2CF9AE}" pid="9" name="ObjectID">
    <vt:lpwstr>09001dc895d9c444</vt:lpwstr>
  </property>
  <property fmtid="{D5CDD505-2E9C-101B-9397-08002B2CF9AE}" pid="10" name="_MarkAsFinal">
    <vt:bool>false</vt:bool>
  </property>
  <property fmtid="{D5CDD505-2E9C-101B-9397-08002B2CF9AE}" pid="11" name="KSOProductBuildVer">
    <vt:lpwstr>2052-11.8.2.9695</vt:lpwstr>
  </property>
</Properties>
</file>