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Arial" w:hAnsi="Arial" w:eastAsia="宋体" w:cs="Arial"/>
          <w:sz w:val="28"/>
          <w:szCs w:val="28"/>
        </w:rPr>
      </w:pPr>
      <w:bookmarkStart w:id="1" w:name="_GoBack"/>
      <w:bookmarkEnd w:id="1"/>
    </w:p>
    <w:p>
      <w:pPr>
        <w:spacing w:line="440" w:lineRule="exact"/>
        <w:jc w:val="center"/>
        <w:rPr>
          <w:rFonts w:ascii="Arial" w:hAnsi="Arial" w:eastAsia="宋体" w:cs="Arial"/>
          <w:b/>
          <w:sz w:val="30"/>
          <w:szCs w:val="30"/>
        </w:rPr>
      </w:pPr>
      <w:r>
        <w:rPr>
          <w:rFonts w:hint="eastAsia" w:ascii="Arial" w:hAnsi="Arial" w:eastAsia="宋体" w:cs="Arial"/>
          <w:b/>
          <w:sz w:val="30"/>
          <w:szCs w:val="30"/>
        </w:rPr>
        <w:t>经营者集中简易案件公示表</w:t>
      </w:r>
    </w:p>
    <w:p>
      <w:pPr>
        <w:spacing w:line="440" w:lineRule="exact"/>
        <w:rPr>
          <w:rFonts w:ascii="Arial" w:hAnsi="Arial" w:eastAsia="宋体" w:cs="Arial"/>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案件名称</w:t>
            </w:r>
          </w:p>
        </w:tc>
        <w:tc>
          <w:tcPr>
            <w:tcW w:w="6949" w:type="dxa"/>
            <w:gridSpan w:val="2"/>
          </w:tcPr>
          <w:p>
            <w:pPr>
              <w:jc w:val="left"/>
              <w:rPr>
                <w:rFonts w:ascii="Arial" w:hAnsi="Arial" w:eastAsia="宋体" w:cs="Arial"/>
              </w:rPr>
            </w:pPr>
            <w:r>
              <w:rPr>
                <w:rFonts w:hint="eastAsia" w:ascii="Arial" w:hAnsi="Arial" w:eastAsia="宋体" w:cs="Arial"/>
              </w:rPr>
              <w:t>上海爱婴室商务服务股份有限公司收购贝贝熊孕婴童连锁商业有限公司股权案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交易概况（限200字内）</w:t>
            </w:r>
          </w:p>
        </w:tc>
        <w:tc>
          <w:tcPr>
            <w:tcW w:w="6949" w:type="dxa"/>
            <w:gridSpan w:val="2"/>
          </w:tcPr>
          <w:p>
            <w:pPr>
              <w:widowControl/>
              <w:snapToGrid w:val="0"/>
              <w:jc w:val="left"/>
              <w:rPr>
                <w:rFonts w:ascii="Arial" w:hAnsi="Arial" w:eastAsia="宋体" w:cs="Arial"/>
              </w:rPr>
            </w:pPr>
            <w:r>
              <w:rPr>
                <w:rFonts w:ascii="Arial" w:hAnsi="Arial" w:eastAsia="宋体" w:cs="Arial"/>
              </w:rPr>
              <w:t>2021</w:t>
            </w:r>
            <w:r>
              <w:rPr>
                <w:rFonts w:hint="eastAsia" w:ascii="Arial" w:hAnsi="Arial" w:eastAsia="宋体" w:cs="Arial"/>
              </w:rPr>
              <w:t>年</w:t>
            </w:r>
            <w:r>
              <w:rPr>
                <w:rFonts w:ascii="Arial" w:hAnsi="Arial" w:eastAsia="宋体" w:cs="Arial"/>
              </w:rPr>
              <w:t>8</w:t>
            </w:r>
            <w:r>
              <w:rPr>
                <w:rFonts w:hint="eastAsia" w:ascii="Arial" w:hAnsi="Arial" w:eastAsia="宋体" w:cs="Arial"/>
              </w:rPr>
              <w:t>月</w:t>
            </w:r>
            <w:r>
              <w:rPr>
                <w:rFonts w:ascii="Arial" w:hAnsi="Arial" w:eastAsia="宋体" w:cs="Arial"/>
              </w:rPr>
              <w:t>9</w:t>
            </w:r>
            <w:r>
              <w:rPr>
                <w:rFonts w:hint="eastAsia" w:ascii="Arial" w:hAnsi="Arial" w:eastAsia="宋体" w:cs="Arial"/>
              </w:rPr>
              <w:t>日上海爱婴室商务服务股份有限公司（“上海爱婴室”）与伍学刚、盈峰消费产业控股有限公司、盈峰集团有限公司签署了《关于贝贝熊孕婴童连锁商业有限公司之股权购买协议书》。上海爱婴室商务服务股份有限公司拟以</w:t>
            </w:r>
            <w:r>
              <w:rPr>
                <w:rFonts w:ascii="Arial" w:hAnsi="Arial" w:eastAsia="宋体" w:cs="Arial"/>
              </w:rPr>
              <w:t>20,000</w:t>
            </w:r>
            <w:r>
              <w:rPr>
                <w:rFonts w:hint="eastAsia" w:ascii="Arial" w:hAnsi="Arial" w:eastAsia="宋体" w:cs="Arial"/>
              </w:rPr>
              <w:t>万元人民币收购盈峰消费产业控股有限公司、伍学刚先生持有的贝贝熊孕婴童连锁商业有限公司（“贝贝熊”）</w:t>
            </w:r>
            <w:r>
              <w:rPr>
                <w:rFonts w:ascii="Arial" w:hAnsi="Arial" w:eastAsia="宋体" w:cs="Arial"/>
              </w:rPr>
              <w:t>100%</w:t>
            </w:r>
            <w:r>
              <w:rPr>
                <w:rFonts w:hint="eastAsia" w:ascii="Arial" w:hAnsi="Arial" w:eastAsia="宋体" w:cs="Arial"/>
              </w:rPr>
              <w:t>股权。本次交易完成后，上海爱婴室将单独控制贝贝熊。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1809" w:type="dxa"/>
            <w:vMerge w:val="restart"/>
            <w:shd w:val="clear" w:color="auto" w:fill="D8D8D8" w:themeFill="background1" w:themeFillShade="D9"/>
          </w:tcPr>
          <w:p>
            <w:pPr>
              <w:spacing w:line="500" w:lineRule="exact"/>
              <w:rPr>
                <w:rFonts w:ascii="Arial" w:hAnsi="Arial" w:eastAsia="宋体" w:cs="Arial"/>
                <w:sz w:val="24"/>
                <w:szCs w:val="24"/>
              </w:rPr>
            </w:pPr>
            <w:r>
              <w:rPr>
                <w:rFonts w:ascii="Arial" w:hAnsi="Arial" w:eastAsia="宋体" w:cs="Arial"/>
                <w:sz w:val="24"/>
                <w:szCs w:val="24"/>
              </w:rPr>
              <w:t>参与集中的经营者简介</w:t>
            </w:r>
          </w:p>
        </w:tc>
        <w:tc>
          <w:tcPr>
            <w:tcW w:w="1796" w:type="dxa"/>
            <w:vAlign w:val="center"/>
          </w:tcPr>
          <w:p>
            <w:pPr>
              <w:jc w:val="left"/>
              <w:rPr>
                <w:rFonts w:ascii="Arial" w:hAnsi="Arial" w:eastAsia="宋体" w:cs="Arial"/>
              </w:rPr>
            </w:pPr>
            <w:r>
              <w:rPr>
                <w:rFonts w:hint="eastAsia" w:ascii="Arial" w:hAnsi="Arial" w:eastAsia="宋体" w:cs="Arial"/>
              </w:rPr>
              <w:t>上海爱婴室商务服务股份有限公司（爱婴室）</w:t>
            </w:r>
          </w:p>
        </w:tc>
        <w:tc>
          <w:tcPr>
            <w:tcW w:w="5153" w:type="dxa"/>
            <w:vAlign w:val="center"/>
          </w:tcPr>
          <w:p>
            <w:pPr>
              <w:jc w:val="left"/>
              <w:rPr>
                <w:rFonts w:ascii="Arial" w:hAnsi="Arial" w:eastAsia="宋体" w:cs="Arial"/>
              </w:rPr>
            </w:pPr>
            <w:bookmarkStart w:id="0" w:name="_Toc356809686"/>
            <w:r>
              <w:rPr>
                <w:rFonts w:hint="eastAsia" w:ascii="Arial" w:hAnsi="Arial" w:eastAsia="宋体" w:cs="Arial"/>
              </w:rPr>
              <w:t>一家于</w:t>
            </w:r>
            <w:r>
              <w:rPr>
                <w:rFonts w:ascii="Arial" w:hAnsi="Arial" w:eastAsia="宋体" w:cs="Arial"/>
              </w:rPr>
              <w:t>2005</w:t>
            </w:r>
            <w:r>
              <w:rPr>
                <w:rFonts w:hint="eastAsia" w:ascii="Arial" w:hAnsi="Arial" w:eastAsia="宋体" w:cs="Arial"/>
              </w:rPr>
              <w:t>年</w:t>
            </w:r>
            <w:r>
              <w:rPr>
                <w:rFonts w:ascii="Arial" w:hAnsi="Arial" w:eastAsia="宋体" w:cs="Arial"/>
              </w:rPr>
              <w:t>8</w:t>
            </w:r>
            <w:r>
              <w:rPr>
                <w:rFonts w:hint="eastAsia" w:ascii="Arial" w:hAnsi="Arial" w:eastAsia="宋体" w:cs="Arial"/>
              </w:rPr>
              <w:t>月在上海成立的公司</w:t>
            </w:r>
            <w:bookmarkEnd w:id="0"/>
            <w:r>
              <w:rPr>
                <w:rFonts w:hint="eastAsia" w:ascii="Arial" w:hAnsi="Arial" w:eastAsia="宋体" w:cs="Arial"/>
              </w:rPr>
              <w:t>，主要作为母婴零售专业店向母婴产品消费者提供相关产品及专业服务。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1796" w:type="dxa"/>
            <w:vAlign w:val="center"/>
          </w:tcPr>
          <w:p>
            <w:pPr>
              <w:jc w:val="left"/>
              <w:rPr>
                <w:rFonts w:ascii="Arial" w:hAnsi="Arial" w:eastAsia="宋体" w:cs="Arial"/>
              </w:rPr>
            </w:pPr>
            <w:r>
              <w:rPr>
                <w:rFonts w:hint="eastAsia" w:ascii="Arial" w:hAnsi="Arial" w:eastAsia="宋体" w:cs="Arial"/>
              </w:rPr>
              <w:t>贝贝熊孕婴童连锁商业有限公司</w:t>
            </w:r>
          </w:p>
          <w:p>
            <w:pPr>
              <w:jc w:val="left"/>
              <w:rPr>
                <w:rFonts w:ascii="Arial" w:hAnsi="Arial" w:eastAsia="宋体" w:cs="Arial"/>
              </w:rPr>
            </w:pPr>
            <w:r>
              <w:rPr>
                <w:rFonts w:hint="eastAsia" w:ascii="Arial" w:hAnsi="Arial" w:eastAsia="宋体" w:cs="Arial"/>
              </w:rPr>
              <w:t>（贝贝熊）</w:t>
            </w:r>
          </w:p>
        </w:tc>
        <w:tc>
          <w:tcPr>
            <w:tcW w:w="5153" w:type="dxa"/>
          </w:tcPr>
          <w:p>
            <w:pPr>
              <w:jc w:val="left"/>
              <w:rPr>
                <w:rFonts w:ascii="Arial" w:hAnsi="Arial" w:eastAsia="宋体" w:cs="Arial"/>
              </w:rPr>
            </w:pPr>
            <w:r>
              <w:rPr>
                <w:rFonts w:hint="eastAsia" w:ascii="Arial" w:hAnsi="Arial" w:eastAsia="宋体" w:cs="Arial"/>
              </w:rPr>
              <w:t>一家于</w:t>
            </w:r>
            <w:r>
              <w:rPr>
                <w:rFonts w:ascii="Arial" w:hAnsi="Arial" w:eastAsia="宋体" w:cs="Arial"/>
              </w:rPr>
              <w:t>2009</w:t>
            </w:r>
            <w:r>
              <w:rPr>
                <w:rFonts w:hint="eastAsia" w:ascii="Arial" w:hAnsi="Arial" w:eastAsia="宋体" w:cs="Arial"/>
              </w:rPr>
              <w:t>年</w:t>
            </w:r>
            <w:r>
              <w:rPr>
                <w:rFonts w:ascii="Arial" w:hAnsi="Arial" w:eastAsia="宋体" w:cs="Arial"/>
              </w:rPr>
              <w:t>02</w:t>
            </w:r>
            <w:r>
              <w:rPr>
                <w:rFonts w:hint="eastAsia" w:ascii="Arial" w:hAnsi="Arial" w:eastAsia="宋体" w:cs="Arial"/>
              </w:rPr>
              <w:t>月在湖南省长沙市注册成立的有限责任公司，主要作为母婴零售专业店向母婴产品消费者提供相关产品及专业服务。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宋体" w:cs="Arial"/>
                <w:sz w:val="24"/>
                <w:szCs w:val="24"/>
              </w:rPr>
            </w:pPr>
            <w:r>
              <w:rPr>
                <w:rFonts w:ascii="Arial" w:hAnsi="Arial" w:eastAsia="宋体" w:cs="Arial"/>
                <w:sz w:val="24"/>
                <w:szCs w:val="24"/>
              </w:rPr>
              <w:t>简易案件理由（可多选）</w:t>
            </w: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sym w:font="Wingdings 2" w:char="0052"/>
            </w:r>
            <w:r>
              <w:rPr>
                <w:rFonts w:ascii="Arial" w:hAnsi="Arial" w:eastAsia="宋体" w:cs="Arial"/>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宋体" w:cs="Arial"/>
                <w:sz w:val="24"/>
                <w:szCs w:val="24"/>
              </w:rPr>
            </w:pPr>
          </w:p>
        </w:tc>
        <w:tc>
          <w:tcPr>
            <w:tcW w:w="6949" w:type="dxa"/>
            <w:gridSpan w:val="2"/>
          </w:tcPr>
          <w:p>
            <w:pPr>
              <w:spacing w:before="156" w:beforeLines="50" w:after="156" w:afterLines="50" w:line="400" w:lineRule="exact"/>
              <w:rPr>
                <w:rFonts w:ascii="Arial" w:hAnsi="Arial" w:eastAsia="宋体" w:cs="Arial"/>
                <w:sz w:val="24"/>
                <w:szCs w:val="24"/>
              </w:rPr>
            </w:pPr>
            <w:r>
              <w:rPr>
                <w:rFonts w:ascii="Arial" w:hAnsi="Arial" w:eastAsia="宋体" w:cs="Arial"/>
                <w:sz w:val="36"/>
                <w:szCs w:val="36"/>
              </w:rPr>
              <w:t>□</w:t>
            </w:r>
            <w:r>
              <w:rPr>
                <w:rFonts w:ascii="Arial" w:hAnsi="Arial" w:eastAsia="宋体" w:cs="Arial"/>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8D8D8" w:themeFill="background1" w:themeFillShade="D9"/>
          </w:tcPr>
          <w:p>
            <w:pPr>
              <w:widowControl/>
              <w:snapToGrid w:val="0"/>
              <w:spacing w:before="156" w:beforeLines="50" w:after="156" w:afterLines="50" w:line="400" w:lineRule="exact"/>
              <w:jc w:val="left"/>
              <w:rPr>
                <w:rFonts w:ascii="Arial" w:hAnsi="Arial" w:eastAsia="宋体" w:cs="Arial"/>
                <w:sz w:val="24"/>
                <w:szCs w:val="24"/>
              </w:rPr>
            </w:pPr>
            <w:r>
              <w:rPr>
                <w:rFonts w:ascii="Arial" w:hAnsi="Arial" w:eastAsia="宋体" w:cs="Arial"/>
                <w:sz w:val="24"/>
                <w:szCs w:val="24"/>
              </w:rPr>
              <w:t>备注</w:t>
            </w:r>
          </w:p>
        </w:tc>
        <w:tc>
          <w:tcPr>
            <w:tcW w:w="6949" w:type="dxa"/>
            <w:gridSpan w:val="2"/>
          </w:tcPr>
          <w:p>
            <w:pPr>
              <w:rPr>
                <w:rFonts w:ascii="Arial" w:hAnsi="Arial" w:eastAsia="宋体" w:cs="Arial"/>
              </w:rPr>
            </w:pPr>
            <w:r>
              <w:rPr>
                <w:rFonts w:hint="eastAsia" w:ascii="Arial" w:hAnsi="Arial" w:eastAsia="宋体" w:cs="Arial"/>
              </w:rPr>
              <w:t>本项交易涉及以下相关市场：</w:t>
            </w:r>
          </w:p>
          <w:p>
            <w:pPr>
              <w:rPr>
                <w:rFonts w:ascii="Arial" w:hAnsi="Arial" w:eastAsia="宋体" w:cs="Arial"/>
              </w:rPr>
            </w:pPr>
            <w:r>
              <w:rPr>
                <w:rFonts w:hint="eastAsia" w:ascii="Arial" w:hAnsi="Arial" w:eastAsia="宋体" w:cs="Arial"/>
              </w:rPr>
              <w:t>产品市场：母婴品类产品零售专业店</w:t>
            </w:r>
          </w:p>
          <w:p>
            <w:pPr>
              <w:rPr>
                <w:rFonts w:ascii="Arial" w:hAnsi="Arial" w:eastAsia="宋体" w:cs="Arial"/>
              </w:rPr>
            </w:pPr>
            <w:r>
              <w:rPr>
                <w:rFonts w:hint="eastAsia" w:ascii="Arial" w:hAnsi="Arial" w:eastAsia="宋体" w:cs="Arial"/>
              </w:rPr>
              <w:t>地域市场：南通、无锡</w:t>
            </w:r>
          </w:p>
          <w:p>
            <w:pPr>
              <w:rPr>
                <w:rFonts w:ascii="Arial" w:hAnsi="Arial" w:eastAsia="宋体" w:cs="Arial"/>
              </w:rPr>
            </w:pPr>
            <w:r>
              <w:rPr>
                <w:rFonts w:hint="eastAsia" w:ascii="Arial" w:hAnsi="Arial" w:eastAsia="宋体" w:cs="Arial"/>
              </w:rPr>
              <w:t>市场份额：</w:t>
            </w:r>
          </w:p>
          <w:tbl>
            <w:tblPr>
              <w:tblStyle w:val="6"/>
              <w:tblW w:w="6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194"/>
              <w:gridCol w:w="91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b/>
                    </w:rPr>
                  </w:pPr>
                  <w:r>
                    <w:rPr>
                      <w:rFonts w:hint="eastAsia" w:ascii="Arial" w:hAnsi="Arial" w:eastAsia="宋体" w:cs="Arial"/>
                      <w:b/>
                    </w:rPr>
                    <w:t>相关市场</w:t>
                  </w:r>
                </w:p>
              </w:tc>
              <w:tc>
                <w:tcPr>
                  <w:tcW w:w="1194" w:type="dxa"/>
                  <w:tcBorders>
                    <w:top w:val="single" w:color="auto" w:sz="4" w:space="0"/>
                    <w:left w:val="single" w:color="auto" w:sz="4" w:space="0"/>
                    <w:bottom w:val="single" w:color="auto" w:sz="4" w:space="0"/>
                    <w:right w:val="single" w:color="auto" w:sz="4" w:space="0"/>
                  </w:tcBorders>
                </w:tcPr>
                <w:p>
                  <w:pPr>
                    <w:rPr>
                      <w:rFonts w:ascii="Arial" w:hAnsi="Arial" w:eastAsia="宋体" w:cs="Arial"/>
                      <w:b/>
                    </w:rPr>
                  </w:pPr>
                  <w:r>
                    <w:rPr>
                      <w:rFonts w:hint="eastAsia" w:ascii="Arial" w:hAnsi="Arial" w:eastAsia="宋体" w:cs="Arial"/>
                      <w:b/>
                    </w:rPr>
                    <w:t>经营者</w:t>
                  </w:r>
                </w:p>
              </w:tc>
              <w:tc>
                <w:tcPr>
                  <w:tcW w:w="91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b/>
                    </w:rPr>
                  </w:pPr>
                  <w:r>
                    <w:rPr>
                      <w:rFonts w:hint="eastAsia" w:ascii="Arial" w:hAnsi="Arial" w:eastAsia="宋体" w:cs="Arial"/>
                      <w:b/>
                    </w:rPr>
                    <w:t>地区</w:t>
                  </w:r>
                </w:p>
              </w:tc>
              <w:tc>
                <w:tcPr>
                  <w:tcW w:w="1500" w:type="dxa"/>
                  <w:tcBorders>
                    <w:top w:val="single" w:color="auto" w:sz="4" w:space="0"/>
                    <w:left w:val="single" w:color="auto" w:sz="4" w:space="0"/>
                    <w:bottom w:val="single" w:color="auto" w:sz="4" w:space="0"/>
                    <w:right w:val="single" w:color="auto" w:sz="4" w:space="0"/>
                  </w:tcBorders>
                </w:tcPr>
                <w:p>
                  <w:pPr>
                    <w:rPr>
                      <w:rFonts w:ascii="Arial" w:hAnsi="Arial" w:eastAsia="宋体" w:cs="Arial"/>
                      <w:b/>
                    </w:rPr>
                  </w:pPr>
                  <w:r>
                    <w:rPr>
                      <w:rFonts w:hint="eastAsia" w:ascii="Arial" w:hAnsi="Arial" w:eastAsia="宋体" w:cs="Arial"/>
                      <w:b/>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rPr>
                    <w:t>母婴品类产品零售专业店</w:t>
                  </w:r>
                </w:p>
              </w:tc>
              <w:tc>
                <w:tcPr>
                  <w:tcW w:w="1194"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ascii="Arial" w:hAnsi="Arial" w:eastAsia="宋体" w:cs="Arial"/>
                    </w:rPr>
                    <w:t>爱婴室</w:t>
                  </w:r>
                </w:p>
              </w:tc>
              <w:tc>
                <w:tcPr>
                  <w:tcW w:w="91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南通</w:t>
                  </w:r>
                </w:p>
              </w:tc>
              <w:tc>
                <w:tcPr>
                  <w:tcW w:w="1500" w:type="dxa"/>
                  <w:tcBorders>
                    <w:top w:val="single" w:color="auto" w:sz="4" w:space="0"/>
                    <w:left w:val="single" w:color="auto" w:sz="4" w:space="0"/>
                    <w:bottom w:val="single" w:color="auto" w:sz="4" w:space="0"/>
                    <w:right w:val="single" w:color="auto" w:sz="4" w:space="0"/>
                  </w:tcBorders>
                  <w:vAlign w:val="center"/>
                </w:tcPr>
                <w:p>
                  <w:pPr>
                    <w:rPr>
                      <w:rFonts w:ascii="Arial" w:hAnsi="Arial" w:eastAsia="宋体" w:cs="Arial"/>
                    </w:rPr>
                  </w:pPr>
                  <w:r>
                    <w:rPr>
                      <w:rFonts w:hint="eastAsia" w:ascii="Arial" w:hAnsi="Arial" w:eastAsia="宋体" w:cs="Arial"/>
                    </w:rPr>
                    <w:t>5</w:t>
                  </w:r>
                  <w:r>
                    <w:rPr>
                      <w:rFonts w:ascii="Arial" w:hAnsi="Arial" w:eastAsia="宋体" w:cs="Arial"/>
                    </w:rPr>
                    <w:t>-10</w:t>
                  </w:r>
                  <w:r>
                    <w:rPr>
                      <w:rFonts w:hint="eastAsia" w:ascii="Arial" w:hAnsi="Arial" w:eastAsia="宋体"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rPr>
                    <w:t>母婴品类产品零售专业店</w:t>
                  </w:r>
                </w:p>
              </w:tc>
              <w:tc>
                <w:tcPr>
                  <w:tcW w:w="1194"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ascii="Arial" w:hAnsi="Arial" w:eastAsia="宋体" w:cs="Arial"/>
                    </w:rPr>
                    <w:t>贝贝熊</w:t>
                  </w:r>
                </w:p>
              </w:tc>
              <w:tc>
                <w:tcPr>
                  <w:tcW w:w="91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南通</w:t>
                  </w:r>
                </w:p>
              </w:tc>
              <w:tc>
                <w:tcPr>
                  <w:tcW w:w="1500" w:type="dxa"/>
                  <w:tcBorders>
                    <w:top w:val="single" w:color="auto" w:sz="4" w:space="0"/>
                    <w:left w:val="single" w:color="auto" w:sz="4" w:space="0"/>
                    <w:bottom w:val="single" w:color="auto" w:sz="4" w:space="0"/>
                    <w:right w:val="single" w:color="auto" w:sz="4" w:space="0"/>
                  </w:tcBorders>
                </w:tcPr>
                <w:p>
                  <w:pPr>
                    <w:rPr>
                      <w:rFonts w:ascii="Arial" w:hAnsi="Arial" w:eastAsia="宋体" w:cs="Arial"/>
                    </w:rPr>
                  </w:pPr>
                  <w:r>
                    <w:rPr>
                      <w:rFonts w:hint="eastAsia" w:ascii="Arial" w:hAnsi="Arial" w:eastAsia="宋体" w:cs="Arial"/>
                    </w:rPr>
                    <w:t>小于1%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Borders>
                    <w:top w:val="single" w:color="auto" w:sz="4" w:space="0"/>
                    <w:left w:val="single" w:color="auto" w:sz="4" w:space="0"/>
                    <w:bottom w:val="single" w:color="auto" w:sz="4" w:space="0"/>
                    <w:right w:val="single" w:color="auto" w:sz="4" w:space="0"/>
                  </w:tcBorders>
                </w:tcPr>
                <w:p>
                  <w:pPr>
                    <w:rPr>
                      <w:rFonts w:hint="eastAsia"/>
                    </w:rPr>
                  </w:pPr>
                  <w:r>
                    <w:rPr>
                      <w:rFonts w:hint="eastAsia"/>
                    </w:rPr>
                    <w:t>母婴品类产品零售专业店</w:t>
                  </w:r>
                </w:p>
              </w:tc>
              <w:tc>
                <w:tcPr>
                  <w:tcW w:w="1194"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爱婴室</w:t>
                  </w:r>
                </w:p>
              </w:tc>
              <w:tc>
                <w:tcPr>
                  <w:tcW w:w="91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无锡</w:t>
                  </w:r>
                </w:p>
              </w:tc>
              <w:tc>
                <w:tcPr>
                  <w:tcW w:w="150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小于1%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auto" w:sz="4" w:space="0"/>
                    <w:left w:val="single" w:color="auto" w:sz="4" w:space="0"/>
                    <w:bottom w:val="single" w:color="auto" w:sz="4" w:space="0"/>
                    <w:right w:val="single" w:color="auto" w:sz="4" w:space="0"/>
                  </w:tcBorders>
                </w:tcPr>
                <w:p>
                  <w:pPr>
                    <w:rPr>
                      <w:rFonts w:hint="eastAsia"/>
                    </w:rPr>
                  </w:pPr>
                  <w:r>
                    <w:rPr>
                      <w:rFonts w:hint="eastAsia"/>
                    </w:rPr>
                    <w:t>母婴品类产品零售专业店</w:t>
                  </w:r>
                </w:p>
              </w:tc>
              <w:tc>
                <w:tcPr>
                  <w:tcW w:w="1194"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贝贝熊</w:t>
                  </w:r>
                </w:p>
              </w:tc>
              <w:tc>
                <w:tcPr>
                  <w:tcW w:w="91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无锡</w:t>
                  </w:r>
                </w:p>
              </w:tc>
              <w:tc>
                <w:tcPr>
                  <w:tcW w:w="1500" w:type="dxa"/>
                  <w:tcBorders>
                    <w:top w:val="single" w:color="auto" w:sz="4" w:space="0"/>
                    <w:left w:val="single" w:color="auto" w:sz="4" w:space="0"/>
                    <w:bottom w:val="single" w:color="auto" w:sz="4" w:space="0"/>
                    <w:right w:val="single" w:color="auto" w:sz="4" w:space="0"/>
                  </w:tcBorders>
                </w:tcPr>
                <w:p>
                  <w:pPr>
                    <w:rPr>
                      <w:rFonts w:hint="eastAsia" w:ascii="Arial" w:hAnsi="Arial" w:eastAsia="宋体" w:cs="Arial"/>
                    </w:rPr>
                  </w:pPr>
                  <w:r>
                    <w:rPr>
                      <w:rFonts w:hint="eastAsia" w:ascii="Arial" w:hAnsi="Arial" w:eastAsia="宋体" w:cs="Arial"/>
                    </w:rPr>
                    <w:t>5</w:t>
                  </w:r>
                  <w:r>
                    <w:rPr>
                      <w:rFonts w:ascii="Arial" w:hAnsi="Arial" w:eastAsia="宋体" w:cs="Arial"/>
                    </w:rPr>
                    <w:t>-10</w:t>
                  </w:r>
                  <w:r>
                    <w:rPr>
                      <w:rFonts w:hint="eastAsia" w:ascii="Arial" w:hAnsi="Arial" w:eastAsia="宋体" w:cs="Arial"/>
                    </w:rPr>
                    <w:t>%</w:t>
                  </w:r>
                </w:p>
              </w:tc>
            </w:tr>
          </w:tbl>
          <w:p>
            <w:pPr>
              <w:spacing w:before="156" w:beforeLines="50" w:after="156" w:afterLines="50"/>
              <w:rPr>
                <w:rFonts w:ascii="Arial" w:hAnsi="Arial" w:eastAsia="宋体" w:cs="Arial"/>
                <w:sz w:val="24"/>
                <w:szCs w:val="24"/>
                <w:u w:val="single"/>
              </w:rPr>
            </w:pPr>
          </w:p>
        </w:tc>
      </w:tr>
    </w:tbl>
    <w:p>
      <w:pPr>
        <w:widowControl/>
        <w:shd w:val="clear" w:color="auto" w:fill="FFFFFF"/>
        <w:spacing w:line="375" w:lineRule="atLeast"/>
        <w:jc w:val="left"/>
        <w:rPr>
          <w:rFonts w:ascii="Arial" w:hAnsi="Arial" w:eastAsia="宋体" w:cs="Arial"/>
          <w:sz w:val="28"/>
          <w:szCs w:val="28"/>
        </w:rPr>
      </w:pPr>
    </w:p>
    <w:p>
      <w:pPr>
        <w:snapToGrid w:val="0"/>
        <w:spacing w:line="240" w:lineRule="exact"/>
        <w:jc w:val="left"/>
        <w:rPr>
          <w:rFonts w:ascii="Arial" w:hAnsi="Arial" w:eastAsia="宋体" w:cs="Arial"/>
          <w:sz w:val="24"/>
          <w:szCs w:val="24"/>
        </w:rPr>
      </w:pPr>
      <w:r>
        <w:rPr>
          <w:rFonts w:hint="eastAsia" w:ascii="Arial" w:hAnsi="Arial" w:eastAsia="宋体" w:cs="Arial"/>
          <w:sz w:val="24"/>
          <w:szCs w:val="24"/>
        </w:rPr>
        <w:t>注解：</w:t>
      </w:r>
    </w:p>
    <w:p>
      <w:pPr>
        <w:snapToGrid w:val="0"/>
        <w:spacing w:line="360" w:lineRule="auto"/>
        <w:ind w:firstLine="480" w:firstLineChars="200"/>
        <w:jc w:val="left"/>
        <w:rPr>
          <w:rFonts w:ascii="Arial" w:hAnsi="Arial" w:eastAsia="宋体" w:cs="Arial"/>
          <w:sz w:val="24"/>
          <w:szCs w:val="24"/>
        </w:rPr>
      </w:pPr>
      <w:r>
        <w:rPr>
          <w:rFonts w:ascii="Arial" w:hAnsi="Arial" w:eastAsia="宋体" w:cs="Arial"/>
          <w:sz w:val="24"/>
          <w:szCs w:val="24"/>
        </w:rPr>
        <w:t>1</w:t>
      </w:r>
      <w:r>
        <w:rPr>
          <w:rFonts w:hint="eastAsia" w:ascii="Arial" w:hAnsi="Arial" w:eastAsia="宋体" w:cs="Arial"/>
          <w:sz w:val="24"/>
          <w:szCs w:val="24"/>
        </w:rPr>
        <w:t>、申报方申请简易案件的理由是基于</w:t>
      </w:r>
      <w:r>
        <w:rPr>
          <w:rFonts w:ascii="Arial" w:hAnsi="Arial" w:eastAsia="宋体" w:cs="Arial"/>
          <w:sz w:val="24"/>
          <w:szCs w:val="24"/>
        </w:rPr>
        <w:t>1-3</w:t>
      </w:r>
      <w:r>
        <w:rPr>
          <w:rFonts w:hint="eastAsia" w:ascii="Arial" w:hAnsi="Arial" w:eastAsia="宋体" w:cs="Arial"/>
          <w:sz w:val="24"/>
          <w:szCs w:val="24"/>
        </w:rPr>
        <w:t>项时，须在备注中说明界定的相关商品市场和相关地域市场（无须阐述界定理由），以及相关市场份额；市场份额可以区间形式提供，区间幅度不应超过</w:t>
      </w:r>
      <w:r>
        <w:rPr>
          <w:rFonts w:ascii="Arial" w:hAnsi="Arial" w:eastAsia="宋体" w:cs="Arial"/>
          <w:sz w:val="24"/>
          <w:szCs w:val="24"/>
        </w:rPr>
        <w:t>5%</w:t>
      </w:r>
      <w:r>
        <w:rPr>
          <w:rFonts w:hint="eastAsia" w:ascii="Arial" w:hAnsi="Arial" w:eastAsia="宋体" w:cs="Arial"/>
          <w:sz w:val="24"/>
          <w:szCs w:val="24"/>
        </w:rPr>
        <w:t>。</w:t>
      </w:r>
      <w:r>
        <w:rPr>
          <w:rFonts w:ascii="Arial" w:hAnsi="Arial" w:eastAsia="宋体" w:cs="Arial"/>
          <w:sz w:val="24"/>
          <w:szCs w:val="24"/>
        </w:rPr>
        <w:t>1-3</w:t>
      </w:r>
      <w:r>
        <w:rPr>
          <w:rFonts w:hint="eastAsia" w:ascii="Arial" w:hAnsi="Arial" w:eastAsia="宋体" w:cs="Arial"/>
          <w:sz w:val="24"/>
          <w:szCs w:val="24"/>
        </w:rPr>
        <w:t>项可以多选，也可单选；没有勾选的，视为本集中不涉及该类型交易。</w:t>
      </w:r>
    </w:p>
    <w:p>
      <w:pPr>
        <w:spacing w:line="360" w:lineRule="auto"/>
        <w:ind w:firstLine="480" w:firstLineChars="200"/>
        <w:rPr>
          <w:rFonts w:ascii="Arial" w:hAnsi="Arial" w:eastAsia="宋体" w:cs="Arial"/>
          <w:sz w:val="28"/>
          <w:szCs w:val="28"/>
        </w:rPr>
      </w:pPr>
      <w:r>
        <w:rPr>
          <w:rFonts w:ascii="Arial" w:hAnsi="Arial" w:eastAsia="宋体" w:cs="Arial"/>
          <w:sz w:val="24"/>
          <w:szCs w:val="24"/>
        </w:rPr>
        <w:t>2</w:t>
      </w:r>
      <w:r>
        <w:rPr>
          <w:rFonts w:hint="eastAsia" w:ascii="Arial" w:hAnsi="Arial" w:eastAsia="宋体" w:cs="Arial"/>
          <w:sz w:val="24"/>
          <w:szCs w:val="24"/>
        </w:rPr>
        <w:t>、申报方申请简易案件的理由是基于第</w:t>
      </w:r>
      <w:r>
        <w:rPr>
          <w:rFonts w:ascii="Arial" w:hAnsi="Arial" w:eastAsia="宋体" w:cs="Arial"/>
          <w:sz w:val="24"/>
          <w:szCs w:val="24"/>
        </w:rPr>
        <w:t>4</w:t>
      </w:r>
      <w:r>
        <w:rPr>
          <w:rFonts w:hint="eastAsia" w:ascii="Arial" w:hAnsi="Arial" w:eastAsia="宋体" w:cs="Arial"/>
          <w:sz w:val="24"/>
          <w:szCs w:val="24"/>
        </w:rPr>
        <w:t>项、第</w:t>
      </w:r>
      <w:r>
        <w:rPr>
          <w:rFonts w:ascii="Arial" w:hAnsi="Arial" w:eastAsia="宋体" w:cs="Arial"/>
          <w:sz w:val="24"/>
          <w:szCs w:val="24"/>
        </w:rPr>
        <w:t>5</w:t>
      </w:r>
      <w:r>
        <w:rPr>
          <w:rFonts w:hint="eastAsia" w:ascii="Arial" w:hAnsi="Arial" w:eastAsia="宋体" w:cs="Arial"/>
          <w:sz w:val="24"/>
          <w:szCs w:val="24"/>
        </w:rPr>
        <w:t>项时，无须在备注中说明相关市场和市场份额。</w:t>
      </w:r>
      <w:r>
        <w:rPr>
          <w:rFonts w:ascii="Arial" w:hAnsi="Arial" w:eastAsia="宋体" w:cs="Arial"/>
          <w:sz w:val="24"/>
          <w:szCs w:val="24"/>
        </w:rPr>
        <w:br w:type="textWrapping"/>
      </w:r>
      <w:r>
        <w:rPr>
          <w:rFonts w:ascii="Arial" w:hAnsi="Arial" w:eastAsia="宋体" w:cs="Arial"/>
          <w:sz w:val="24"/>
          <w:szCs w:val="24"/>
        </w:rPr>
        <w:t xml:space="preserve">    3</w:t>
      </w:r>
      <w:r>
        <w:rPr>
          <w:rFonts w:hint="eastAsia" w:ascii="Arial" w:hAnsi="Arial" w:eastAsia="宋体" w:cs="Arial"/>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Arial" w:hAnsi="Arial" w:eastAsia="宋体" w:cs="Arial"/>
          <w:sz w:val="24"/>
          <w:szCs w:val="24"/>
        </w:rPr>
        <w:t>1</w:t>
      </w:r>
      <w:r>
        <w:rPr>
          <w:rFonts w:hint="eastAsia" w:ascii="Arial" w:hAnsi="Arial" w:eastAsia="宋体" w:cs="Arial"/>
          <w:sz w:val="24"/>
          <w:szCs w:val="24"/>
        </w:rPr>
        <w:t>项和第</w:t>
      </w:r>
      <w:r>
        <w:rPr>
          <w:rFonts w:ascii="Arial" w:hAnsi="Arial" w:eastAsia="宋体" w:cs="Arial"/>
          <w:sz w:val="24"/>
          <w:szCs w:val="24"/>
        </w:rPr>
        <w:t>6</w:t>
      </w:r>
      <w:r>
        <w:rPr>
          <w:rFonts w:hint="eastAsia" w:ascii="Arial" w:hAnsi="Arial" w:eastAsia="宋体" w:cs="Arial"/>
          <w:sz w:val="24"/>
          <w:szCs w:val="24"/>
        </w:rPr>
        <w:t>项理由，并在备注中说明界定的相关商品市场和相关地域市场（无须阐述界定理由），以及相关市场份额。市场份额可以区间形式提供，区间幅度不应超过</w:t>
      </w:r>
      <w:r>
        <w:rPr>
          <w:rFonts w:ascii="Arial" w:hAnsi="Arial" w:eastAsia="宋体" w:cs="Arial"/>
          <w:sz w:val="24"/>
          <w:szCs w:val="24"/>
        </w:rPr>
        <w:t>5%</w:t>
      </w:r>
      <w:r>
        <w:rPr>
          <w:rFonts w:hint="eastAsia" w:ascii="Arial" w:hAnsi="Arial" w:eastAsia="宋体" w:cs="Arial"/>
          <w:sz w:val="24"/>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Wingdings 2">
    <w:panose1 w:val="05020102010507070707"/>
    <w:charset w:val="02"/>
    <w:family w:val="roman"/>
    <w:pitch w:val="default"/>
    <w:sig w:usb0="00000000" w:usb1="00000000" w:usb2="00000000" w:usb3="00000000" w:csb0="8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696"/>
    <w:rsid w:val="00011005"/>
    <w:rsid w:val="00017EAA"/>
    <w:rsid w:val="00030D29"/>
    <w:rsid w:val="00033A90"/>
    <w:rsid w:val="00036704"/>
    <w:rsid w:val="00045B51"/>
    <w:rsid w:val="00067117"/>
    <w:rsid w:val="000723FA"/>
    <w:rsid w:val="00094095"/>
    <w:rsid w:val="000B3DCC"/>
    <w:rsid w:val="000D65B3"/>
    <w:rsid w:val="000E5321"/>
    <w:rsid w:val="000F02F4"/>
    <w:rsid w:val="000F1EBD"/>
    <w:rsid w:val="000F1FFF"/>
    <w:rsid w:val="001040B0"/>
    <w:rsid w:val="00105018"/>
    <w:rsid w:val="00106574"/>
    <w:rsid w:val="001325B0"/>
    <w:rsid w:val="001524B9"/>
    <w:rsid w:val="00171A7E"/>
    <w:rsid w:val="00171CA3"/>
    <w:rsid w:val="00175239"/>
    <w:rsid w:val="001767D1"/>
    <w:rsid w:val="00177D93"/>
    <w:rsid w:val="00195985"/>
    <w:rsid w:val="001C1AB3"/>
    <w:rsid w:val="001F5F0B"/>
    <w:rsid w:val="002019A9"/>
    <w:rsid w:val="00207E74"/>
    <w:rsid w:val="00213872"/>
    <w:rsid w:val="00216BD5"/>
    <w:rsid w:val="00241CE5"/>
    <w:rsid w:val="00275A3D"/>
    <w:rsid w:val="00293095"/>
    <w:rsid w:val="002A5F57"/>
    <w:rsid w:val="002C5670"/>
    <w:rsid w:val="002D762D"/>
    <w:rsid w:val="002F1D1F"/>
    <w:rsid w:val="00311F24"/>
    <w:rsid w:val="00321DDB"/>
    <w:rsid w:val="00346A30"/>
    <w:rsid w:val="003657F1"/>
    <w:rsid w:val="0036691B"/>
    <w:rsid w:val="0037030B"/>
    <w:rsid w:val="00371541"/>
    <w:rsid w:val="0037565E"/>
    <w:rsid w:val="00386FBD"/>
    <w:rsid w:val="003C4817"/>
    <w:rsid w:val="003D3A30"/>
    <w:rsid w:val="00425740"/>
    <w:rsid w:val="00426458"/>
    <w:rsid w:val="00430537"/>
    <w:rsid w:val="00451A0F"/>
    <w:rsid w:val="00452171"/>
    <w:rsid w:val="00462174"/>
    <w:rsid w:val="00486AAC"/>
    <w:rsid w:val="004A1DAC"/>
    <w:rsid w:val="004A7139"/>
    <w:rsid w:val="004C5BC1"/>
    <w:rsid w:val="004D47CE"/>
    <w:rsid w:val="004E77F9"/>
    <w:rsid w:val="00510CFD"/>
    <w:rsid w:val="00523F2F"/>
    <w:rsid w:val="005241C9"/>
    <w:rsid w:val="00535D98"/>
    <w:rsid w:val="00546866"/>
    <w:rsid w:val="00554252"/>
    <w:rsid w:val="0056050E"/>
    <w:rsid w:val="00580FA9"/>
    <w:rsid w:val="0059755E"/>
    <w:rsid w:val="005B52E5"/>
    <w:rsid w:val="005B65F3"/>
    <w:rsid w:val="005F03C4"/>
    <w:rsid w:val="005F1B7A"/>
    <w:rsid w:val="00620015"/>
    <w:rsid w:val="006276BC"/>
    <w:rsid w:val="00634708"/>
    <w:rsid w:val="00635C19"/>
    <w:rsid w:val="00637C57"/>
    <w:rsid w:val="006451C2"/>
    <w:rsid w:val="00662633"/>
    <w:rsid w:val="006652D0"/>
    <w:rsid w:val="006654A7"/>
    <w:rsid w:val="006753C1"/>
    <w:rsid w:val="006846BF"/>
    <w:rsid w:val="00685065"/>
    <w:rsid w:val="006957F3"/>
    <w:rsid w:val="006A6AC4"/>
    <w:rsid w:val="006A797E"/>
    <w:rsid w:val="006C5258"/>
    <w:rsid w:val="00701EA9"/>
    <w:rsid w:val="00705BDA"/>
    <w:rsid w:val="0070608E"/>
    <w:rsid w:val="00720402"/>
    <w:rsid w:val="007313D6"/>
    <w:rsid w:val="0073164C"/>
    <w:rsid w:val="00754657"/>
    <w:rsid w:val="00757FB5"/>
    <w:rsid w:val="007722D1"/>
    <w:rsid w:val="00775DF3"/>
    <w:rsid w:val="00786977"/>
    <w:rsid w:val="00790721"/>
    <w:rsid w:val="007B16FF"/>
    <w:rsid w:val="007B6451"/>
    <w:rsid w:val="007D7231"/>
    <w:rsid w:val="007E5FD7"/>
    <w:rsid w:val="007F57CA"/>
    <w:rsid w:val="00826865"/>
    <w:rsid w:val="00840197"/>
    <w:rsid w:val="00855AAA"/>
    <w:rsid w:val="0087560B"/>
    <w:rsid w:val="008A3E1D"/>
    <w:rsid w:val="008C750D"/>
    <w:rsid w:val="009110AB"/>
    <w:rsid w:val="009119FA"/>
    <w:rsid w:val="0091664B"/>
    <w:rsid w:val="00922EB4"/>
    <w:rsid w:val="00931D92"/>
    <w:rsid w:val="00932EB0"/>
    <w:rsid w:val="009953F7"/>
    <w:rsid w:val="00A06186"/>
    <w:rsid w:val="00A06DD0"/>
    <w:rsid w:val="00A32894"/>
    <w:rsid w:val="00A40882"/>
    <w:rsid w:val="00A522F2"/>
    <w:rsid w:val="00A527D7"/>
    <w:rsid w:val="00A827A2"/>
    <w:rsid w:val="00A837A6"/>
    <w:rsid w:val="00A95A4A"/>
    <w:rsid w:val="00AA09C8"/>
    <w:rsid w:val="00AA0BA9"/>
    <w:rsid w:val="00AA2EDD"/>
    <w:rsid w:val="00AB0B34"/>
    <w:rsid w:val="00AB68C0"/>
    <w:rsid w:val="00AC5674"/>
    <w:rsid w:val="00AD5434"/>
    <w:rsid w:val="00AF57E8"/>
    <w:rsid w:val="00B14A60"/>
    <w:rsid w:val="00B4623D"/>
    <w:rsid w:val="00B557A7"/>
    <w:rsid w:val="00B66B30"/>
    <w:rsid w:val="00B709A7"/>
    <w:rsid w:val="00B83847"/>
    <w:rsid w:val="00BA6397"/>
    <w:rsid w:val="00BB5805"/>
    <w:rsid w:val="00BE2C6B"/>
    <w:rsid w:val="00BE3B3D"/>
    <w:rsid w:val="00BE525A"/>
    <w:rsid w:val="00C05A5C"/>
    <w:rsid w:val="00C1086E"/>
    <w:rsid w:val="00C135F3"/>
    <w:rsid w:val="00C17B41"/>
    <w:rsid w:val="00C61FAC"/>
    <w:rsid w:val="00CA3DFA"/>
    <w:rsid w:val="00CA4C4F"/>
    <w:rsid w:val="00CB768D"/>
    <w:rsid w:val="00CC1F71"/>
    <w:rsid w:val="00CD497E"/>
    <w:rsid w:val="00D30F22"/>
    <w:rsid w:val="00D468F9"/>
    <w:rsid w:val="00D60D14"/>
    <w:rsid w:val="00D74C01"/>
    <w:rsid w:val="00D96340"/>
    <w:rsid w:val="00D97082"/>
    <w:rsid w:val="00DA1B9F"/>
    <w:rsid w:val="00DC736B"/>
    <w:rsid w:val="00DD5F11"/>
    <w:rsid w:val="00DE2B77"/>
    <w:rsid w:val="00E157A0"/>
    <w:rsid w:val="00E256CD"/>
    <w:rsid w:val="00E33E0C"/>
    <w:rsid w:val="00E47FEA"/>
    <w:rsid w:val="00E5321F"/>
    <w:rsid w:val="00E62773"/>
    <w:rsid w:val="00E6529B"/>
    <w:rsid w:val="00E679D3"/>
    <w:rsid w:val="00E92062"/>
    <w:rsid w:val="00E9231C"/>
    <w:rsid w:val="00E929CE"/>
    <w:rsid w:val="00E941FA"/>
    <w:rsid w:val="00ED1CF4"/>
    <w:rsid w:val="00EE4A8B"/>
    <w:rsid w:val="00F102F3"/>
    <w:rsid w:val="00F17B0D"/>
    <w:rsid w:val="00F511EE"/>
    <w:rsid w:val="00F52CDE"/>
    <w:rsid w:val="00F74B7D"/>
    <w:rsid w:val="00F77541"/>
    <w:rsid w:val="00F87C1F"/>
    <w:rsid w:val="00FA4325"/>
    <w:rsid w:val="00FA64CA"/>
    <w:rsid w:val="00FB1A80"/>
    <w:rsid w:val="00FB5B2B"/>
    <w:rsid w:val="00FC398E"/>
    <w:rsid w:val="00FE07DB"/>
    <w:rsid w:val="4E127AAC"/>
    <w:rsid w:val="72BDE03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1"/>
    <w:semiHidden/>
    <w:unhideWhenUsed/>
    <w:qFormat/>
    <w:uiPriority w:val="99"/>
    <w:pPr>
      <w:snapToGrid w:val="0"/>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semiHidden/>
    <w:unhideWhenUsed/>
    <w:qFormat/>
    <w:uiPriority w:val="99"/>
    <w:rPr>
      <w:vertAlign w:val="superscript"/>
    </w:rPr>
  </w:style>
  <w:style w:type="character" w:styleId="10">
    <w:name w:val="Hyperlink"/>
    <w:basedOn w:val="8"/>
    <w:semiHidden/>
    <w:unhideWhenUsed/>
    <w:qFormat/>
    <w:uiPriority w:val="99"/>
    <w:rPr>
      <w:color w:val="0000FF"/>
      <w:u w:val="single"/>
    </w:rPr>
  </w:style>
  <w:style w:type="character" w:customStyle="1" w:styleId="11">
    <w:name w:val="尾注文本 字符"/>
    <w:basedOn w:val="8"/>
    <w:link w:val="2"/>
    <w:semiHidden/>
    <w:qFormat/>
    <w:uiPriority w:val="99"/>
  </w:style>
  <w:style w:type="character" w:customStyle="1" w:styleId="12">
    <w:name w:val="页眉 字符"/>
    <w:basedOn w:val="8"/>
    <w:link w:val="5"/>
    <w:qFormat/>
    <w:uiPriority w:val="99"/>
    <w:rPr>
      <w:sz w:val="18"/>
      <w:szCs w:val="18"/>
    </w:rPr>
  </w:style>
  <w:style w:type="character" w:customStyle="1" w:styleId="13">
    <w:name w:val="页脚 字符"/>
    <w:basedOn w:val="8"/>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585</Words>
  <Characters>638</Characters>
  <Lines>37</Lines>
  <Paragraphs>45</Paragraphs>
  <TotalTime>25</TotalTime>
  <ScaleCrop>false</ScaleCrop>
  <LinksUpToDate>false</LinksUpToDate>
  <CharactersWithSpaces>1178</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2021-08-30T20:12:00Z</dcterms:created>
  <dc:creator>dell</dc:creator>
  <cp:lastModifiedBy>oa</cp:lastModifiedBy>
  <dcterms:modified xsi:type="dcterms:W3CDTF">2021-09-14T08:51:44Z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