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碧桂园物业香港控股有限公司收购邻里乐控股集团有限公司股权案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碧桂园物业香港控股有限公司拟取得彩生活服务集团有限公司持有的邻里乐控股集团有限公司100%股权。交易完成后，碧桂园物业香港控股有限公司将单独控制邻里乐控股集团有限公司。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1、碧桂园物业香港控股有限公司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是一家于2018年依据中国香港法律设立并存续的私人股份有限公司，注册地在中国香港，碧桂园物业香港控股有限公司主要在中国境内从事物业管理服务，其关联方主要在中国境内从事房地产开发、教育业务等。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2、邻里乐控股集团有限公司股权案</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是一家于2015年6月16日成立的有限公司（非上市），注册地在开曼群岛，碧桂园物业香港控股有限公司拟通过本次交易收购邻里乐控股集团有限公司股权取得控制的若干公司的主要业务为物业管理服务、增值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1、横向重叠</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相关产品市场：住宅物业管理服务</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三明市、六安市、马鞍山市、惠州市、南通市、天津市、银川市、唐山市、南平市、石家庄市、龙岩市、南昌市、嘉兴市、赣州市、宜昌市、丹东市、烟台市、广州市、呼和浩特市、桂林市、南宁市、东莞市、济宁市、温州市、海口市、郑州市、莆田市、绍兴市、上海市、青岛市、哈尔滨市、南京市、湘潭市、杭州市、福州市、大连市、重庆市、包头市、成都市、昆明市、深圳市、北京</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市场份额排名前五位的城市：</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952"/>
              <w:gridCol w:w="1910"/>
              <w:gridCol w:w="1296"/>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3" w:hRule="atLeast"/>
              </w:trPr>
              <w:tc>
                <w:tcPr>
                  <w:tcW w:w="755"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序号</w:t>
                  </w:r>
                </w:p>
              </w:tc>
              <w:tc>
                <w:tcPr>
                  <w:tcW w:w="952"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城市</w:t>
                  </w:r>
                </w:p>
              </w:tc>
              <w:tc>
                <w:tcPr>
                  <w:tcW w:w="1910"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碧桂园物业香港控股有限公司及其关联公司</w:t>
                  </w:r>
                </w:p>
              </w:tc>
              <w:tc>
                <w:tcPr>
                  <w:tcW w:w="1296"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标的公司</w:t>
                  </w:r>
                </w:p>
              </w:tc>
              <w:tc>
                <w:tcPr>
                  <w:tcW w:w="1644"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双方合计市场份额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三明市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c>
                <w:tcPr>
                  <w:tcW w:w="1296"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644"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六安市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96"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644"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马鞍山市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96"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644"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惠州市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96"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644"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南通市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96"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644"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（2）相关产品市场：商业物业管理服务</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武汉市、东莞市、佛山市、柳州市、江门市、西安市、南京市、广州市、南昌市、青岛市、兰州市、长沙市、苏州市、常州市、沈阳市、南通市、昆山市、厦门市、上海、重庆市、天津、郑州市、深圳市、北京、荆州市</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952"/>
              <w:gridCol w:w="1910"/>
              <w:gridCol w:w="1260"/>
              <w:gridCol w:w="1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序号</w:t>
                  </w:r>
                </w:p>
              </w:tc>
              <w:tc>
                <w:tcPr>
                  <w:tcW w:w="952"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城市</w:t>
                  </w:r>
                </w:p>
              </w:tc>
              <w:tc>
                <w:tcPr>
                  <w:tcW w:w="1910"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碧桂园物业香港控股有限公司及其关联公司</w:t>
                  </w:r>
                </w:p>
              </w:tc>
              <w:tc>
                <w:tcPr>
                  <w:tcW w:w="1260"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标的公司</w:t>
                  </w:r>
                </w:p>
              </w:tc>
              <w:tc>
                <w:tcPr>
                  <w:tcW w:w="1656"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双方合计市场份额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武汉市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c>
                <w:tcPr>
                  <w:tcW w:w="126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c>
                <w:tcPr>
                  <w:tcW w:w="1656"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东莞市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6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10~15%</w:t>
                  </w:r>
                </w:p>
              </w:tc>
              <w:tc>
                <w:tcPr>
                  <w:tcW w:w="1656"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佛山市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6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c>
                <w:tcPr>
                  <w:tcW w:w="1656"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柳州市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6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c>
                <w:tcPr>
                  <w:tcW w:w="1656"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江门市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c>
                <w:tcPr>
                  <w:tcW w:w="126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c>
                <w:tcPr>
                  <w:tcW w:w="1656" w:type="dxa"/>
                  <w:shd w:val="clear" w:color="auto" w:fill="auto"/>
                  <w:vAlign w:val="center"/>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r>
          </w:tbl>
          <w:p>
            <w:pPr>
              <w:spacing w:line="500" w:lineRule="exact"/>
              <w:rPr>
                <w:rFonts w:ascii="仿宋" w:hAnsi="仿宋" w:eastAsia="仿宋" w:cs="宋体"/>
                <w:color w:val="333333"/>
                <w:kern w:val="0"/>
                <w:sz w:val="24"/>
                <w:szCs w:val="24"/>
              </w:rPr>
            </w:pPr>
          </w:p>
          <w:p>
            <w:pPr>
              <w:tabs>
                <w:tab w:val="left" w:pos="1296"/>
              </w:tabs>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2、纵向关系</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相关产品市场：商品住宅开发销售（住宅物业管理服务的上游）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三明市、六安市、马鞍山市、惠州市、南通市、石家庄市、南平市、广州市、赣州市、宜昌市、龙岩市、烟台市、嘉兴市、济宁市、唐山市、温州市、郑州市、东莞市、桂林市、湘潭市、莆田市、绍兴市、海口市、银川市、南京市、南宁市、福州市、天津市、重庆市、杭州市、昆明市、南昌市、青岛市、大连市、包头市、成都市、哈尔滨市、上海市、深圳市</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952"/>
              <w:gridCol w:w="1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序号</w:t>
                  </w:r>
                </w:p>
              </w:tc>
              <w:tc>
                <w:tcPr>
                  <w:tcW w:w="952"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城市</w:t>
                  </w:r>
                </w:p>
              </w:tc>
              <w:tc>
                <w:tcPr>
                  <w:tcW w:w="1910"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碧桂园物业香港控股有限公司关联公司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三明市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六安市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马鞍山市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惠州市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南通市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相关产品市场：零售商业地产开发运营（商业物业管理服务的上游）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相关地域市场：武汉市、广州市、佛山市、南通市、苏州市、深圳市、天津、上海</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952"/>
              <w:gridCol w:w="1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序号</w:t>
                  </w:r>
                </w:p>
              </w:tc>
              <w:tc>
                <w:tcPr>
                  <w:tcW w:w="952"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城市</w:t>
                  </w:r>
                </w:p>
              </w:tc>
              <w:tc>
                <w:tcPr>
                  <w:tcW w:w="1898"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碧桂园物业香港控股有限公司关联公司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武汉市</w:t>
                  </w:r>
                </w:p>
              </w:tc>
              <w:tc>
                <w:tcPr>
                  <w:tcW w:w="1898"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广州市</w:t>
                  </w:r>
                </w:p>
              </w:tc>
              <w:tc>
                <w:tcPr>
                  <w:tcW w:w="1898"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佛山市</w:t>
                  </w:r>
                </w:p>
              </w:tc>
              <w:tc>
                <w:tcPr>
                  <w:tcW w:w="1898"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南通市</w:t>
                  </w:r>
                </w:p>
              </w:tc>
              <w:tc>
                <w:tcPr>
                  <w:tcW w:w="1898"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苏州市</w:t>
                  </w:r>
                </w:p>
              </w:tc>
              <w:tc>
                <w:tcPr>
                  <w:tcW w:w="1898"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bl>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（3）相关产品市场：写字楼开发运营（商业物业管理服务的上游）</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相关地域市场：东莞</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952"/>
              <w:gridCol w:w="1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vAlign w:val="center"/>
                </w:tcPr>
                <w:p>
                  <w:pPr>
                    <w:spacing w:line="500" w:lineRule="exact"/>
                    <w:jc w:val="center"/>
                    <w:rPr>
                      <w:rFonts w:ascii="仿宋" w:hAnsi="仿宋" w:eastAsia="仿宋" w:cs="宋体"/>
                      <w:color w:val="333333"/>
                      <w:kern w:val="0"/>
                      <w:sz w:val="24"/>
                      <w:szCs w:val="24"/>
                    </w:rPr>
                  </w:pPr>
                  <w:bookmarkStart w:id="0" w:name="_GoBack" w:colFirst="0" w:colLast="2"/>
                  <w:r>
                    <w:rPr>
                      <w:rFonts w:hint="eastAsia" w:ascii="仿宋" w:hAnsi="仿宋" w:eastAsia="仿宋" w:cs="宋体"/>
                      <w:color w:val="333333"/>
                      <w:kern w:val="0"/>
                      <w:sz w:val="24"/>
                      <w:szCs w:val="24"/>
                    </w:rPr>
                    <w:t>序号</w:t>
                  </w:r>
                </w:p>
              </w:tc>
              <w:tc>
                <w:tcPr>
                  <w:tcW w:w="952" w:type="dxa"/>
                  <w:shd w:val="clear" w:color="auto" w:fill="auto"/>
                  <w:noWrap/>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城市</w:t>
                  </w:r>
                </w:p>
              </w:tc>
              <w:tc>
                <w:tcPr>
                  <w:tcW w:w="1910" w:type="dxa"/>
                  <w:shd w:val="clear" w:color="auto" w:fill="auto"/>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碧桂园物业香港控股有限公司关联公司</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755" w:type="dxa"/>
                  <w:shd w:val="clear" w:color="auto" w:fill="auto"/>
                  <w:noWrap/>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p>
              </w:tc>
              <w:tc>
                <w:tcPr>
                  <w:tcW w:w="952" w:type="dxa"/>
                  <w:shd w:val="clear" w:color="auto" w:fill="auto"/>
                  <w:noWrap/>
                  <w:vAlign w:val="bottom"/>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东莞市</w:t>
                  </w:r>
                </w:p>
              </w:tc>
              <w:tc>
                <w:tcPr>
                  <w:tcW w:w="1910" w:type="dxa"/>
                  <w:shd w:val="clear" w:color="auto" w:fill="auto"/>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0~5%</w:t>
                  </w:r>
                </w:p>
              </w:tc>
            </w:tr>
          </w:tbl>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方正仿宋_GBK">
    <w:panose1 w:val="02000000000000000000"/>
    <w:charset w:val="86"/>
    <w:family w:val="script"/>
    <w:pitch w:val="default"/>
    <w:sig w:usb0="A00002BF" w:usb1="38CF7CFA" w:usb2="00082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1DCB"/>
    <w:rsid w:val="00155717"/>
    <w:rsid w:val="001837A3"/>
    <w:rsid w:val="002B7495"/>
    <w:rsid w:val="00340360"/>
    <w:rsid w:val="003B1E62"/>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BF18DB"/>
    <w:rsid w:val="00C07076"/>
    <w:rsid w:val="00CB00DF"/>
    <w:rsid w:val="00D73C72"/>
    <w:rsid w:val="00E0592B"/>
    <w:rsid w:val="00E31738"/>
    <w:rsid w:val="00E86786"/>
    <w:rsid w:val="00ED2F80"/>
    <w:rsid w:val="00F1624E"/>
    <w:rsid w:val="00F32F8A"/>
    <w:rsid w:val="00F810AA"/>
    <w:rsid w:val="00FB43EC"/>
    <w:rsid w:val="00FB6B40"/>
    <w:rsid w:val="2EE44AC6"/>
    <w:rsid w:val="671D260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334</Words>
  <Characters>1905</Characters>
  <Lines>15</Lines>
  <Paragraphs>4</Paragraphs>
  <TotalTime>15</TotalTime>
  <ScaleCrop>false</ScaleCrop>
  <LinksUpToDate>false</LinksUpToDate>
  <CharactersWithSpaces>2235</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赵浩涵</cp:lastModifiedBy>
  <dcterms:modified xsi:type="dcterms:W3CDTF">2021-10-27T08:22:23Z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