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bookmarkStart w:id="0" w:name="_GoBack"/>
      <w:bookmarkEnd w:id="0"/>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碧桂园生活服务集团股份有限公司收购安徽诚和物业服务有限公司等两家公司股权案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财信地产发展集团股份有限公司拟向碧桂园生活服务集团股份有限公司转让安徽诚和物业服务有限公司100%股权。同时，重庆财信企业集团有限公司拟向碧桂园生活服务集团股份有限公司转让财信智慧生活服务集团有限公司100%股权。交易后，碧桂园生活服务集团股份有限公司单独控制安徽诚和物业服务有限公司、财信智慧生活服务集团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1、碧桂园生活服务集团股份有限公司</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是一家于2004年成立的股份有限公司（非上市），注册地在中国佛山，碧桂园生活服务集团股份有限公司主要在中国境内从事物业管理服务，其关联方主要在中国境内从事房地产开发、教育业务等。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2、安徽诚和物业服务有限公司</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是一家于2008年成立的有限责任公司，注册地在中国合肥，主要在中国境内从事物业管理服务。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3、财信智慧生活服务集团有限公司</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是一家于2006年成立的有限责任公司，注册地在中国重庆，主要在中国境内从事物业管理服务。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黑体" w:eastAsia="黑体"/>
                <w:szCs w:val="21"/>
              </w:rPr>
              <w:sym w:font="Wingdings" w:char="F0FE"/>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黑体" w:eastAsia="黑体"/>
                <w:szCs w:val="21"/>
              </w:rPr>
              <w:sym w:font="Wingdings" w:char="F0FE"/>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1、横向重叠</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相关产品市场：住宅物业管理服务</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滁州市、清远市、琼海市、芜湖市、宜春市、云浮市、宣城市、遵义市、安顺市、池州市、安庆市、承德市、连云港市、徐州市、上饶市、泸州市、苏州市、广安市、宿州市、保定市、淮北市、周口市、益阳市、烟台市、长沙市、蚌埠市、合肥市、邵阳市、湘潭市、贵阳市、开封市、宜宾市、西安市、郑州市、重庆市、海口市、潍坊市、金华市、抚州市、北京、杭州市、揭阳市、枣庄市、长春市</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市场份额排名前五位的城市：</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851"/>
              <w:gridCol w:w="1379"/>
              <w:gridCol w:w="1239"/>
              <w:gridCol w:w="13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序号</w:t>
                  </w:r>
                </w:p>
              </w:tc>
              <w:tc>
                <w:tcPr>
                  <w:tcW w:w="851" w:type="dxa"/>
                  <w:noWrap/>
                </w:tcPr>
                <w:p>
                  <w:r>
                    <w:rPr>
                      <w:rFonts w:hint="eastAsia"/>
                    </w:rPr>
                    <w:t>城市</w:t>
                  </w:r>
                </w:p>
              </w:tc>
              <w:tc>
                <w:tcPr>
                  <w:tcW w:w="1134" w:type="dxa"/>
                </w:tcPr>
                <w:p>
                  <w:pPr>
                    <w:rPr>
                      <w:color w:val="000000"/>
                      <w:sz w:val="22"/>
                    </w:rPr>
                  </w:pPr>
                  <w:r>
                    <w:rPr>
                      <w:rFonts w:hint="eastAsia"/>
                      <w:color w:val="000000"/>
                      <w:sz w:val="22"/>
                    </w:rPr>
                    <w:t>碧桂园生活服务集团股份有限公司及其关联公司</w:t>
                  </w:r>
                </w:p>
              </w:tc>
              <w:tc>
                <w:tcPr>
                  <w:tcW w:w="1134" w:type="dxa"/>
                </w:tcPr>
                <w:p>
                  <w:pPr>
                    <w:rPr>
                      <w:color w:val="000000"/>
                      <w:sz w:val="22"/>
                    </w:rPr>
                  </w:pPr>
                  <w:r>
                    <w:rPr>
                      <w:rFonts w:hint="eastAsia"/>
                      <w:color w:val="000000"/>
                      <w:sz w:val="22"/>
                    </w:rPr>
                    <w:t>标的公司</w:t>
                  </w:r>
                </w:p>
              </w:tc>
              <w:tc>
                <w:tcPr>
                  <w:tcW w:w="1134" w:type="dxa"/>
                  <w:vAlign w:val="center"/>
                </w:tcPr>
                <w:p>
                  <w:pPr>
                    <w:rPr>
                      <w:rFonts w:ascii="宋体" w:hAnsi="宋体" w:cs="宋体"/>
                      <w:color w:val="000000"/>
                      <w:sz w:val="22"/>
                    </w:rPr>
                  </w:pPr>
                  <w:r>
                    <w:rPr>
                      <w:rFonts w:hint="eastAsia"/>
                      <w:color w:val="000000"/>
                      <w:sz w:val="22"/>
                    </w:rPr>
                    <w:t>双方合计市场份额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1</w:t>
                  </w:r>
                </w:p>
              </w:tc>
              <w:tc>
                <w:tcPr>
                  <w:tcW w:w="851" w:type="dxa"/>
                  <w:noWrap/>
                </w:tcPr>
                <w:p>
                  <w:r>
                    <w:rPr>
                      <w:rFonts w:hint="eastAsia"/>
                    </w:rPr>
                    <w:t>滁州</w:t>
                  </w:r>
                </w:p>
              </w:tc>
              <w:tc>
                <w:tcPr>
                  <w:tcW w:w="1134" w:type="dxa"/>
                </w:tcPr>
                <w:p>
                  <w:pPr>
                    <w:jc w:val="right"/>
                    <w:rPr>
                      <w:color w:val="000000"/>
                      <w:sz w:val="22"/>
                    </w:rPr>
                  </w:pPr>
                  <w:r>
                    <w:rPr>
                      <w:rFonts w:hint="eastAsia"/>
                      <w:color w:val="000000"/>
                      <w:sz w:val="22"/>
                    </w:rPr>
                    <w:t>10%~15%</w:t>
                  </w:r>
                </w:p>
              </w:tc>
              <w:tc>
                <w:tcPr>
                  <w:tcW w:w="1134" w:type="dxa"/>
                </w:tcPr>
                <w:p>
                  <w:pPr>
                    <w:jc w:val="right"/>
                    <w:rPr>
                      <w:color w:val="000000"/>
                      <w:sz w:val="22"/>
                    </w:rPr>
                  </w:pPr>
                  <w:r>
                    <w:rPr>
                      <w:rFonts w:hint="eastAsia"/>
                      <w:color w:val="000000"/>
                      <w:sz w:val="22"/>
                    </w:rPr>
                    <w:t>0~5%</w:t>
                  </w:r>
                </w:p>
              </w:tc>
              <w:tc>
                <w:tcPr>
                  <w:tcW w:w="1134" w:type="dxa"/>
                  <w:vAlign w:val="center"/>
                </w:tcPr>
                <w:p>
                  <w:pPr>
                    <w:jc w:val="right"/>
                    <w:rPr>
                      <w:rFonts w:ascii="宋体" w:hAnsi="宋体" w:cs="宋体"/>
                      <w:color w:val="000000"/>
                      <w:sz w:val="22"/>
                    </w:rPr>
                  </w:pPr>
                  <w:r>
                    <w:rPr>
                      <w:rFonts w:hint="eastAsia"/>
                      <w:color w:val="000000"/>
                      <w:sz w:val="22"/>
                    </w:rPr>
                    <w:t>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2</w:t>
                  </w:r>
                </w:p>
              </w:tc>
              <w:tc>
                <w:tcPr>
                  <w:tcW w:w="851" w:type="dxa"/>
                  <w:noWrap/>
                </w:tcPr>
                <w:p>
                  <w:r>
                    <w:rPr>
                      <w:rFonts w:hint="eastAsia"/>
                    </w:rPr>
                    <w:t>清远</w:t>
                  </w:r>
                </w:p>
              </w:tc>
              <w:tc>
                <w:tcPr>
                  <w:tcW w:w="1134" w:type="dxa"/>
                </w:tcPr>
                <w:p>
                  <w:pPr>
                    <w:jc w:val="right"/>
                    <w:rPr>
                      <w:color w:val="000000"/>
                      <w:sz w:val="22"/>
                    </w:rPr>
                  </w:pPr>
                  <w:r>
                    <w:rPr>
                      <w:rFonts w:hint="eastAsia"/>
                      <w:color w:val="000000"/>
                      <w:sz w:val="22"/>
                    </w:rPr>
                    <w:t>5%~10%</w:t>
                  </w:r>
                </w:p>
              </w:tc>
              <w:tc>
                <w:tcPr>
                  <w:tcW w:w="1134" w:type="dxa"/>
                </w:tcPr>
                <w:p>
                  <w:pPr>
                    <w:jc w:val="right"/>
                    <w:rPr>
                      <w:color w:val="000000"/>
                      <w:sz w:val="22"/>
                    </w:rPr>
                  </w:pPr>
                  <w:r>
                    <w:rPr>
                      <w:rFonts w:hint="eastAsia"/>
                      <w:color w:val="000000"/>
                      <w:sz w:val="22"/>
                    </w:rPr>
                    <w:t>0~5%</w:t>
                  </w:r>
                </w:p>
              </w:tc>
              <w:tc>
                <w:tcPr>
                  <w:tcW w:w="1134" w:type="dxa"/>
                  <w:vAlign w:val="center"/>
                </w:tcPr>
                <w:p>
                  <w:pPr>
                    <w:jc w:val="right"/>
                    <w:rPr>
                      <w:rFonts w:ascii="宋体" w:hAnsi="宋体" w:cs="宋体"/>
                      <w:color w:val="000000"/>
                      <w:sz w:val="22"/>
                    </w:rPr>
                  </w:pPr>
                  <w:r>
                    <w:rPr>
                      <w:rFonts w:hint="eastAsia"/>
                      <w:color w:val="000000"/>
                      <w:sz w:val="22"/>
                    </w:rPr>
                    <w:t>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3</w:t>
                  </w:r>
                </w:p>
              </w:tc>
              <w:tc>
                <w:tcPr>
                  <w:tcW w:w="851" w:type="dxa"/>
                  <w:noWrap/>
                </w:tcPr>
                <w:p>
                  <w:r>
                    <w:rPr>
                      <w:rFonts w:hint="eastAsia"/>
                    </w:rPr>
                    <w:t>琼海</w:t>
                  </w:r>
                </w:p>
              </w:tc>
              <w:tc>
                <w:tcPr>
                  <w:tcW w:w="1134" w:type="dxa"/>
                </w:tcPr>
                <w:p>
                  <w:pPr>
                    <w:jc w:val="right"/>
                    <w:rPr>
                      <w:color w:val="000000"/>
                      <w:sz w:val="22"/>
                    </w:rPr>
                  </w:pPr>
                  <w:r>
                    <w:rPr>
                      <w:rFonts w:hint="eastAsia"/>
                      <w:color w:val="000000"/>
                      <w:sz w:val="22"/>
                    </w:rPr>
                    <w:t>0~5%</w:t>
                  </w:r>
                </w:p>
              </w:tc>
              <w:tc>
                <w:tcPr>
                  <w:tcW w:w="1134" w:type="dxa"/>
                </w:tcPr>
                <w:p>
                  <w:pPr>
                    <w:jc w:val="right"/>
                    <w:rPr>
                      <w:color w:val="000000"/>
                      <w:sz w:val="22"/>
                    </w:rPr>
                  </w:pPr>
                  <w:r>
                    <w:rPr>
                      <w:rFonts w:hint="eastAsia"/>
                      <w:color w:val="000000"/>
                      <w:sz w:val="22"/>
                    </w:rPr>
                    <w:t>5%~10%</w:t>
                  </w:r>
                </w:p>
              </w:tc>
              <w:tc>
                <w:tcPr>
                  <w:tcW w:w="1134" w:type="dxa"/>
                  <w:vAlign w:val="center"/>
                </w:tcPr>
                <w:p>
                  <w:pPr>
                    <w:jc w:val="right"/>
                    <w:rPr>
                      <w:rFonts w:ascii="宋体" w:hAnsi="宋体" w:cs="宋体"/>
                      <w:color w:val="000000"/>
                      <w:sz w:val="22"/>
                    </w:rPr>
                  </w:pPr>
                  <w:r>
                    <w:rPr>
                      <w:rFonts w:hint="eastAsia"/>
                      <w:color w:val="000000"/>
                      <w:sz w:val="22"/>
                    </w:rPr>
                    <w:t>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4</w:t>
                  </w:r>
                </w:p>
              </w:tc>
              <w:tc>
                <w:tcPr>
                  <w:tcW w:w="851" w:type="dxa"/>
                  <w:noWrap/>
                </w:tcPr>
                <w:p>
                  <w:r>
                    <w:rPr>
                      <w:rFonts w:hint="eastAsia"/>
                    </w:rPr>
                    <w:t>芜湖</w:t>
                  </w:r>
                </w:p>
              </w:tc>
              <w:tc>
                <w:tcPr>
                  <w:tcW w:w="1134" w:type="dxa"/>
                </w:tcPr>
                <w:p>
                  <w:pPr>
                    <w:jc w:val="right"/>
                    <w:rPr>
                      <w:color w:val="000000"/>
                      <w:sz w:val="22"/>
                    </w:rPr>
                  </w:pPr>
                  <w:r>
                    <w:rPr>
                      <w:rFonts w:hint="eastAsia"/>
                      <w:color w:val="000000"/>
                      <w:sz w:val="22"/>
                    </w:rPr>
                    <w:t>0~5%</w:t>
                  </w:r>
                </w:p>
              </w:tc>
              <w:tc>
                <w:tcPr>
                  <w:tcW w:w="1134" w:type="dxa"/>
                </w:tcPr>
                <w:p>
                  <w:pPr>
                    <w:jc w:val="right"/>
                    <w:rPr>
                      <w:color w:val="000000"/>
                      <w:sz w:val="22"/>
                    </w:rPr>
                  </w:pPr>
                  <w:r>
                    <w:rPr>
                      <w:rFonts w:hint="eastAsia"/>
                      <w:color w:val="000000"/>
                      <w:sz w:val="22"/>
                    </w:rPr>
                    <w:t>0~5%</w:t>
                  </w:r>
                </w:p>
              </w:tc>
              <w:tc>
                <w:tcPr>
                  <w:tcW w:w="1134" w:type="dxa"/>
                  <w:vAlign w:val="center"/>
                </w:tcPr>
                <w:p>
                  <w:pPr>
                    <w:jc w:val="right"/>
                    <w:rPr>
                      <w:rFonts w:ascii="宋体" w:hAnsi="宋体" w:cs="宋体"/>
                      <w:color w:val="000000"/>
                      <w:sz w:val="22"/>
                    </w:rPr>
                  </w:pPr>
                  <w:r>
                    <w:rPr>
                      <w:rFonts w:hint="eastAsia"/>
                      <w:color w:val="000000"/>
                      <w:sz w:val="22"/>
                    </w:rPr>
                    <w:t>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5</w:t>
                  </w:r>
                </w:p>
              </w:tc>
              <w:tc>
                <w:tcPr>
                  <w:tcW w:w="851" w:type="dxa"/>
                  <w:noWrap/>
                </w:tcPr>
                <w:p>
                  <w:r>
                    <w:rPr>
                      <w:rFonts w:hint="eastAsia"/>
                    </w:rPr>
                    <w:t>宜春</w:t>
                  </w:r>
                </w:p>
              </w:tc>
              <w:tc>
                <w:tcPr>
                  <w:tcW w:w="1134" w:type="dxa"/>
                </w:tcPr>
                <w:p>
                  <w:pPr>
                    <w:jc w:val="right"/>
                    <w:rPr>
                      <w:color w:val="000000"/>
                      <w:sz w:val="22"/>
                    </w:rPr>
                  </w:pPr>
                  <w:r>
                    <w:rPr>
                      <w:rFonts w:hint="eastAsia"/>
                      <w:color w:val="000000"/>
                      <w:sz w:val="22"/>
                    </w:rPr>
                    <w:t>0~5%</w:t>
                  </w:r>
                </w:p>
              </w:tc>
              <w:tc>
                <w:tcPr>
                  <w:tcW w:w="1134" w:type="dxa"/>
                </w:tcPr>
                <w:p>
                  <w:pPr>
                    <w:jc w:val="right"/>
                    <w:rPr>
                      <w:color w:val="000000"/>
                      <w:sz w:val="22"/>
                    </w:rPr>
                  </w:pPr>
                  <w:r>
                    <w:rPr>
                      <w:rFonts w:hint="eastAsia"/>
                      <w:color w:val="000000"/>
                      <w:sz w:val="22"/>
                    </w:rPr>
                    <w:t>0~5%</w:t>
                  </w:r>
                </w:p>
              </w:tc>
              <w:tc>
                <w:tcPr>
                  <w:tcW w:w="1134" w:type="dxa"/>
                  <w:vAlign w:val="center"/>
                </w:tcPr>
                <w:p>
                  <w:pPr>
                    <w:jc w:val="right"/>
                    <w:rPr>
                      <w:rFonts w:ascii="宋体" w:hAnsi="宋体" w:cs="宋体"/>
                      <w:color w:val="000000"/>
                      <w:sz w:val="22"/>
                    </w:rPr>
                  </w:pPr>
                  <w:r>
                    <w:rPr>
                      <w:rFonts w:hint="eastAsia"/>
                      <w:color w:val="000000"/>
                      <w:sz w:val="22"/>
                    </w:rPr>
                    <w:t>5%~10%</w:t>
                  </w:r>
                </w:p>
              </w:tc>
            </w:tr>
          </w:tbl>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相关产品市场：商业物业管理服务</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相关地域市场：重庆、海口、北京</w:t>
            </w:r>
            <w:r>
              <w:rPr>
                <w:rFonts w:ascii="仿宋" w:hAnsi="仿宋" w:eastAsia="仿宋" w:cs="宋体"/>
                <w:color w:val="333333"/>
                <w:kern w:val="0"/>
                <w:sz w:val="24"/>
                <w:szCs w:val="24"/>
              </w:rPr>
              <w:t xml:space="preserve">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851"/>
              <w:gridCol w:w="1134"/>
              <w:gridCol w:w="1134"/>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序号</w:t>
                  </w:r>
                </w:p>
              </w:tc>
              <w:tc>
                <w:tcPr>
                  <w:tcW w:w="851" w:type="dxa"/>
                  <w:noWrap/>
                </w:tcPr>
                <w:p>
                  <w:r>
                    <w:rPr>
                      <w:rFonts w:hint="eastAsia"/>
                    </w:rPr>
                    <w:t>城市</w:t>
                  </w:r>
                </w:p>
              </w:tc>
              <w:tc>
                <w:tcPr>
                  <w:tcW w:w="1134" w:type="dxa"/>
                </w:tcPr>
                <w:p>
                  <w:pPr>
                    <w:rPr>
                      <w:color w:val="000000"/>
                      <w:sz w:val="22"/>
                    </w:rPr>
                  </w:pPr>
                  <w:r>
                    <w:rPr>
                      <w:rFonts w:hint="eastAsia"/>
                      <w:color w:val="000000"/>
                      <w:sz w:val="22"/>
                    </w:rPr>
                    <w:t>碧桂园生活服务集团股份有限公司及其关联公司</w:t>
                  </w:r>
                </w:p>
              </w:tc>
              <w:tc>
                <w:tcPr>
                  <w:tcW w:w="1134" w:type="dxa"/>
                </w:tcPr>
                <w:p>
                  <w:pPr>
                    <w:rPr>
                      <w:color w:val="000000"/>
                      <w:sz w:val="22"/>
                    </w:rPr>
                  </w:pPr>
                  <w:r>
                    <w:rPr>
                      <w:rFonts w:hint="eastAsia"/>
                      <w:color w:val="000000"/>
                      <w:sz w:val="22"/>
                    </w:rPr>
                    <w:t>标的公司</w:t>
                  </w:r>
                </w:p>
              </w:tc>
              <w:tc>
                <w:tcPr>
                  <w:tcW w:w="1134" w:type="dxa"/>
                  <w:vAlign w:val="center"/>
                </w:tcPr>
                <w:p>
                  <w:pPr>
                    <w:rPr>
                      <w:rFonts w:ascii="宋体" w:hAnsi="宋体" w:cs="宋体"/>
                      <w:color w:val="000000"/>
                      <w:sz w:val="22"/>
                    </w:rPr>
                  </w:pPr>
                  <w:r>
                    <w:rPr>
                      <w:rFonts w:hint="eastAsia"/>
                      <w:color w:val="000000"/>
                      <w:sz w:val="22"/>
                    </w:rPr>
                    <w:t>双方合计市场份额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1</w:t>
                  </w:r>
                </w:p>
              </w:tc>
              <w:tc>
                <w:tcPr>
                  <w:tcW w:w="851" w:type="dxa"/>
                  <w:noWrap/>
                </w:tcPr>
                <w:p>
                  <w:r>
                    <w:rPr>
                      <w:rFonts w:hint="eastAsia"/>
                    </w:rPr>
                    <w:t>重庆</w:t>
                  </w:r>
                </w:p>
              </w:tc>
              <w:tc>
                <w:tcPr>
                  <w:tcW w:w="1134" w:type="dxa"/>
                </w:tcPr>
                <w:p>
                  <w:pPr>
                    <w:jc w:val="right"/>
                    <w:rPr>
                      <w:color w:val="000000"/>
                      <w:sz w:val="22"/>
                    </w:rPr>
                  </w:pPr>
                  <w:r>
                    <w:rPr>
                      <w:rFonts w:hint="eastAsia"/>
                      <w:color w:val="000000"/>
                      <w:sz w:val="22"/>
                    </w:rPr>
                    <w:t>0~5%</w:t>
                  </w:r>
                </w:p>
              </w:tc>
              <w:tc>
                <w:tcPr>
                  <w:tcW w:w="1134" w:type="dxa"/>
                </w:tcPr>
                <w:p>
                  <w:pPr>
                    <w:jc w:val="right"/>
                    <w:rPr>
                      <w:color w:val="000000"/>
                      <w:sz w:val="22"/>
                    </w:rPr>
                  </w:pPr>
                  <w:r>
                    <w:rPr>
                      <w:rFonts w:hint="eastAsia"/>
                      <w:color w:val="000000"/>
                      <w:sz w:val="22"/>
                    </w:rPr>
                    <w:t>0~5%</w:t>
                  </w:r>
                </w:p>
              </w:tc>
              <w:tc>
                <w:tcPr>
                  <w:tcW w:w="1134" w:type="dxa"/>
                  <w:vAlign w:val="center"/>
                </w:tcPr>
                <w:p>
                  <w:pPr>
                    <w:jc w:val="right"/>
                    <w:rPr>
                      <w:rFonts w:ascii="宋体" w:hAnsi="宋体" w:cs="宋体"/>
                      <w:color w:val="000000"/>
                      <w:sz w:val="22"/>
                    </w:rPr>
                  </w:pPr>
                  <w:r>
                    <w:rPr>
                      <w:rFonts w:hint="eastAsia"/>
                      <w:color w:val="000000"/>
                      <w:sz w:val="22"/>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2</w:t>
                  </w:r>
                </w:p>
              </w:tc>
              <w:tc>
                <w:tcPr>
                  <w:tcW w:w="851" w:type="dxa"/>
                  <w:noWrap/>
                </w:tcPr>
                <w:p>
                  <w:r>
                    <w:rPr>
                      <w:rFonts w:hint="eastAsia"/>
                    </w:rPr>
                    <w:t>海口</w:t>
                  </w:r>
                </w:p>
              </w:tc>
              <w:tc>
                <w:tcPr>
                  <w:tcW w:w="1134" w:type="dxa"/>
                </w:tcPr>
                <w:p>
                  <w:pPr>
                    <w:jc w:val="right"/>
                    <w:rPr>
                      <w:color w:val="000000"/>
                      <w:sz w:val="22"/>
                    </w:rPr>
                  </w:pPr>
                  <w:r>
                    <w:rPr>
                      <w:rFonts w:hint="eastAsia"/>
                      <w:color w:val="000000"/>
                      <w:sz w:val="22"/>
                    </w:rPr>
                    <w:t>0~5%</w:t>
                  </w:r>
                </w:p>
              </w:tc>
              <w:tc>
                <w:tcPr>
                  <w:tcW w:w="1134" w:type="dxa"/>
                </w:tcPr>
                <w:p>
                  <w:pPr>
                    <w:jc w:val="right"/>
                    <w:rPr>
                      <w:color w:val="000000"/>
                      <w:sz w:val="22"/>
                    </w:rPr>
                  </w:pPr>
                  <w:r>
                    <w:rPr>
                      <w:rFonts w:hint="eastAsia"/>
                      <w:color w:val="000000"/>
                      <w:sz w:val="22"/>
                    </w:rPr>
                    <w:t>0~5%</w:t>
                  </w:r>
                </w:p>
              </w:tc>
              <w:tc>
                <w:tcPr>
                  <w:tcW w:w="1134" w:type="dxa"/>
                  <w:vAlign w:val="center"/>
                </w:tcPr>
                <w:p>
                  <w:pPr>
                    <w:jc w:val="right"/>
                    <w:rPr>
                      <w:rFonts w:ascii="宋体" w:hAnsi="宋体" w:cs="宋体"/>
                      <w:color w:val="000000"/>
                      <w:sz w:val="22"/>
                    </w:rPr>
                  </w:pPr>
                  <w:r>
                    <w:rPr>
                      <w:rFonts w:hint="eastAsia"/>
                      <w:color w:val="000000"/>
                      <w:sz w:val="22"/>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3</w:t>
                  </w:r>
                </w:p>
              </w:tc>
              <w:tc>
                <w:tcPr>
                  <w:tcW w:w="851" w:type="dxa"/>
                  <w:noWrap/>
                </w:tcPr>
                <w:p>
                  <w:r>
                    <w:rPr>
                      <w:rFonts w:hint="eastAsia"/>
                    </w:rPr>
                    <w:t>北京</w:t>
                  </w:r>
                </w:p>
              </w:tc>
              <w:tc>
                <w:tcPr>
                  <w:tcW w:w="1134" w:type="dxa"/>
                </w:tcPr>
                <w:p>
                  <w:pPr>
                    <w:jc w:val="right"/>
                    <w:rPr>
                      <w:color w:val="000000"/>
                      <w:sz w:val="22"/>
                    </w:rPr>
                  </w:pPr>
                  <w:r>
                    <w:rPr>
                      <w:rFonts w:hint="eastAsia"/>
                      <w:color w:val="000000"/>
                      <w:sz w:val="22"/>
                    </w:rPr>
                    <w:t>0~5%</w:t>
                  </w:r>
                </w:p>
              </w:tc>
              <w:tc>
                <w:tcPr>
                  <w:tcW w:w="1134" w:type="dxa"/>
                </w:tcPr>
                <w:p>
                  <w:pPr>
                    <w:jc w:val="right"/>
                    <w:rPr>
                      <w:color w:val="000000"/>
                      <w:sz w:val="22"/>
                    </w:rPr>
                  </w:pPr>
                  <w:r>
                    <w:rPr>
                      <w:rFonts w:hint="eastAsia"/>
                      <w:color w:val="000000"/>
                      <w:sz w:val="22"/>
                    </w:rPr>
                    <w:t>0~5%</w:t>
                  </w:r>
                </w:p>
              </w:tc>
              <w:tc>
                <w:tcPr>
                  <w:tcW w:w="1134" w:type="dxa"/>
                  <w:vAlign w:val="center"/>
                </w:tcPr>
                <w:p>
                  <w:pPr>
                    <w:jc w:val="right"/>
                    <w:rPr>
                      <w:rFonts w:ascii="宋体" w:hAnsi="宋体" w:cs="宋体"/>
                      <w:color w:val="000000"/>
                      <w:sz w:val="22"/>
                    </w:rPr>
                  </w:pPr>
                  <w:r>
                    <w:rPr>
                      <w:rFonts w:hint="eastAsia"/>
                      <w:color w:val="000000"/>
                      <w:sz w:val="22"/>
                    </w:rPr>
                    <w:t>0~5%</w:t>
                  </w:r>
                </w:p>
              </w:tc>
            </w:tr>
          </w:tbl>
          <w:p>
            <w:pPr>
              <w:tabs>
                <w:tab w:val="left" w:pos="1296"/>
              </w:tabs>
              <w:spacing w:line="500" w:lineRule="exact"/>
              <w:rPr>
                <w:rFonts w:ascii="仿宋" w:hAnsi="仿宋" w:eastAsia="仿宋" w:cs="宋体"/>
                <w:color w:val="333333"/>
                <w:kern w:val="0"/>
                <w:sz w:val="24"/>
                <w:szCs w:val="24"/>
              </w:rPr>
            </w:pPr>
          </w:p>
          <w:p>
            <w:pPr>
              <w:tabs>
                <w:tab w:val="left" w:pos="1296"/>
              </w:tabs>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2、纵向关系</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相关产品市场：商品住宅开发销售（住宅物业管理服务的上游）</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滁州市、清远市、云浮市、芜湖市、宣城市、安庆市、池州市、遵义市、宜春市、益阳市、周口市、琼海市、宿州市、苏州市、泸州市、烟台市、贵阳市、承德市、邵阳市、长沙市、郑州市、广安市、上饶市、潍坊市、湘潭市、海口市、蚌埠市、徐州市、连云港市、安顺市、开封市、揭阳市、抚州市、淮北市、保定市、重庆市、杭州市、西安市、枣庄市、合肥市、长春市</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市场份额排名前五位的城市：</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851"/>
              <w:gridCol w:w="13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序号</w:t>
                  </w:r>
                </w:p>
              </w:tc>
              <w:tc>
                <w:tcPr>
                  <w:tcW w:w="851" w:type="dxa"/>
                  <w:noWrap/>
                </w:tcPr>
                <w:p>
                  <w:r>
                    <w:rPr>
                      <w:rFonts w:hint="eastAsia"/>
                    </w:rPr>
                    <w:t>城市</w:t>
                  </w:r>
                </w:p>
              </w:tc>
              <w:tc>
                <w:tcPr>
                  <w:tcW w:w="1134" w:type="dxa"/>
                </w:tcPr>
                <w:p>
                  <w:pPr>
                    <w:rPr>
                      <w:color w:val="000000"/>
                      <w:sz w:val="22"/>
                    </w:rPr>
                  </w:pPr>
                  <w:r>
                    <w:rPr>
                      <w:rFonts w:hint="eastAsia"/>
                      <w:color w:val="000000"/>
                      <w:sz w:val="22"/>
                    </w:rPr>
                    <w:t>碧桂园生活服务集团股份有限公司关联公司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1</w:t>
                  </w:r>
                </w:p>
              </w:tc>
              <w:tc>
                <w:tcPr>
                  <w:tcW w:w="851" w:type="dxa"/>
                  <w:noWrap/>
                </w:tcPr>
                <w:p>
                  <w:r>
                    <w:rPr>
                      <w:rFonts w:hint="eastAsia"/>
                    </w:rPr>
                    <w:t>滁州</w:t>
                  </w:r>
                </w:p>
              </w:tc>
              <w:tc>
                <w:tcPr>
                  <w:tcW w:w="1134" w:type="dxa"/>
                </w:tcPr>
                <w:p>
                  <w:pPr>
                    <w:jc w:val="right"/>
                    <w:rPr>
                      <w:color w:val="000000"/>
                      <w:sz w:val="22"/>
                    </w:rPr>
                  </w:pPr>
                  <w:r>
                    <w:rPr>
                      <w:rFonts w:hint="eastAsia"/>
                      <w:color w:val="000000"/>
                      <w:sz w:val="22"/>
                    </w:rPr>
                    <w:t>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2</w:t>
                  </w:r>
                </w:p>
              </w:tc>
              <w:tc>
                <w:tcPr>
                  <w:tcW w:w="851" w:type="dxa"/>
                  <w:noWrap/>
                </w:tcPr>
                <w:p>
                  <w:r>
                    <w:rPr>
                      <w:rFonts w:hint="eastAsia"/>
                    </w:rPr>
                    <w:t>清远</w:t>
                  </w:r>
                </w:p>
              </w:tc>
              <w:tc>
                <w:tcPr>
                  <w:tcW w:w="1134" w:type="dxa"/>
                </w:tcPr>
                <w:p>
                  <w:pPr>
                    <w:jc w:val="right"/>
                    <w:rPr>
                      <w:color w:val="000000"/>
                      <w:sz w:val="22"/>
                    </w:rPr>
                  </w:pPr>
                  <w:r>
                    <w:rPr>
                      <w:rFonts w:hint="eastAsia"/>
                      <w:color w:val="000000"/>
                      <w:sz w:val="22"/>
                    </w:rPr>
                    <w:t>5</w:t>
                  </w:r>
                  <w:r>
                    <w:rPr>
                      <w:color w:val="000000"/>
                      <w:sz w:val="22"/>
                    </w:rPr>
                    <w:t>%~1</w:t>
                  </w:r>
                  <w:r>
                    <w:rPr>
                      <w:rFonts w:hint="eastAsia"/>
                      <w:color w:val="000000"/>
                      <w:sz w:val="22"/>
                    </w:rPr>
                    <w:t>0</w:t>
                  </w:r>
                  <w:r>
                    <w:rPr>
                      <w:color w:val="000000"/>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3</w:t>
                  </w:r>
                </w:p>
              </w:tc>
              <w:tc>
                <w:tcPr>
                  <w:tcW w:w="851" w:type="dxa"/>
                  <w:noWrap/>
                </w:tcPr>
                <w:p>
                  <w:r>
                    <w:rPr>
                      <w:rFonts w:hint="eastAsia"/>
                    </w:rPr>
                    <w:t>云浮</w:t>
                  </w:r>
                </w:p>
              </w:tc>
              <w:tc>
                <w:tcPr>
                  <w:tcW w:w="1134" w:type="dxa"/>
                </w:tcPr>
                <w:p>
                  <w:pPr>
                    <w:jc w:val="right"/>
                    <w:rPr>
                      <w:color w:val="000000"/>
                      <w:sz w:val="22"/>
                    </w:rPr>
                  </w:pPr>
                  <w:r>
                    <w:rPr>
                      <w:rFonts w:hint="eastAsia"/>
                      <w:color w:val="000000"/>
                      <w:sz w:val="22"/>
                    </w:rPr>
                    <w:t>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4</w:t>
                  </w:r>
                </w:p>
              </w:tc>
              <w:tc>
                <w:tcPr>
                  <w:tcW w:w="851" w:type="dxa"/>
                  <w:noWrap/>
                </w:tcPr>
                <w:p>
                  <w:r>
                    <w:rPr>
                      <w:rFonts w:hint="eastAsia"/>
                    </w:rPr>
                    <w:t>芜湖</w:t>
                  </w:r>
                </w:p>
              </w:tc>
              <w:tc>
                <w:tcPr>
                  <w:tcW w:w="1134" w:type="dxa"/>
                </w:tcPr>
                <w:p>
                  <w:pPr>
                    <w:jc w:val="right"/>
                    <w:rPr>
                      <w:color w:val="000000"/>
                      <w:sz w:val="22"/>
                    </w:rPr>
                  </w:pPr>
                  <w:r>
                    <w:rPr>
                      <w:rFonts w:hint="eastAsia"/>
                      <w:color w:val="000000"/>
                      <w:sz w:val="22"/>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5</w:t>
                  </w:r>
                </w:p>
              </w:tc>
              <w:tc>
                <w:tcPr>
                  <w:tcW w:w="851" w:type="dxa"/>
                  <w:noWrap/>
                </w:tcPr>
                <w:p>
                  <w:r>
                    <w:rPr>
                      <w:rFonts w:hint="eastAsia"/>
                    </w:rPr>
                    <w:t>宣城</w:t>
                  </w:r>
                </w:p>
              </w:tc>
              <w:tc>
                <w:tcPr>
                  <w:tcW w:w="1134" w:type="dxa"/>
                </w:tcPr>
                <w:p>
                  <w:pPr>
                    <w:jc w:val="right"/>
                    <w:rPr>
                      <w:color w:val="000000"/>
                      <w:sz w:val="22"/>
                    </w:rPr>
                  </w:pPr>
                  <w:r>
                    <w:rPr>
                      <w:rFonts w:hint="eastAsia"/>
                      <w:color w:val="000000"/>
                      <w:sz w:val="22"/>
                    </w:rPr>
                    <w:t>0~5%</w:t>
                  </w:r>
                </w:p>
              </w:tc>
            </w:tr>
          </w:tbl>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相关产品市场：零售商业地产开发运营（商业物业管理服务的上游）</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相关地域市场：海口</w:t>
            </w:r>
            <w:r>
              <w:rPr>
                <w:rFonts w:ascii="仿宋" w:hAnsi="仿宋" w:eastAsia="仿宋" w:cs="宋体"/>
                <w:color w:val="333333"/>
                <w:kern w:val="0"/>
                <w:sz w:val="24"/>
                <w:szCs w:val="24"/>
              </w:rPr>
              <w:t xml:space="preserve">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851"/>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序号</w:t>
                  </w:r>
                </w:p>
              </w:tc>
              <w:tc>
                <w:tcPr>
                  <w:tcW w:w="851" w:type="dxa"/>
                  <w:noWrap/>
                </w:tcPr>
                <w:p>
                  <w:r>
                    <w:rPr>
                      <w:rFonts w:hint="eastAsia"/>
                    </w:rPr>
                    <w:t>城市</w:t>
                  </w:r>
                </w:p>
              </w:tc>
              <w:tc>
                <w:tcPr>
                  <w:tcW w:w="1134" w:type="dxa"/>
                </w:tcPr>
                <w:p>
                  <w:pPr>
                    <w:rPr>
                      <w:color w:val="000000"/>
                      <w:sz w:val="22"/>
                    </w:rPr>
                  </w:pPr>
                  <w:r>
                    <w:rPr>
                      <w:rFonts w:hint="eastAsia"/>
                      <w:color w:val="000000"/>
                      <w:sz w:val="22"/>
                    </w:rPr>
                    <w:t>碧桂园生活服务集团股份有限公司关联公司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675" w:type="dxa"/>
                  <w:noWrap/>
                </w:tcPr>
                <w:p>
                  <w:r>
                    <w:rPr>
                      <w:rFonts w:hint="eastAsia"/>
                    </w:rPr>
                    <w:t>1</w:t>
                  </w:r>
                </w:p>
              </w:tc>
              <w:tc>
                <w:tcPr>
                  <w:tcW w:w="851" w:type="dxa"/>
                  <w:noWrap/>
                </w:tcPr>
                <w:p>
                  <w:r>
                    <w:rPr>
                      <w:rFonts w:hint="eastAsia"/>
                    </w:rPr>
                    <w:t>海口</w:t>
                  </w:r>
                </w:p>
              </w:tc>
              <w:tc>
                <w:tcPr>
                  <w:tcW w:w="1134" w:type="dxa"/>
                </w:tcPr>
                <w:p>
                  <w:pPr>
                    <w:jc w:val="right"/>
                    <w:rPr>
                      <w:color w:val="000000"/>
                      <w:sz w:val="22"/>
                    </w:rPr>
                  </w:pPr>
                  <w:r>
                    <w:rPr>
                      <w:rFonts w:hint="eastAsia"/>
                      <w:color w:val="000000"/>
                      <w:sz w:val="22"/>
                    </w:rPr>
                    <w:t>0~5%</w:t>
                  </w:r>
                </w:p>
              </w:tc>
            </w:tr>
          </w:tbl>
          <w:p>
            <w:pPr>
              <w:spacing w:line="500" w:lineRule="exact"/>
              <w:rPr>
                <w:rFonts w:ascii="仿宋" w:hAnsi="仿宋" w:eastAsia="仿宋" w:cs="宋体"/>
                <w:color w:val="333333"/>
                <w:kern w:val="0"/>
                <w:sz w:val="24"/>
                <w:szCs w:val="24"/>
              </w:rPr>
            </w:pP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宋简"/>
    <w:panose1 w:val="02010600030101010101"/>
    <w:charset w:val="86"/>
    <w:family w:val="auto"/>
    <w:pitch w:val="default"/>
    <w:sig w:usb0="00000000" w:usb1="00000000" w:usb2="00000016" w:usb3="00000000" w:csb0="0004000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方正仿宋_GBK">
    <w:panose1 w:val="02000000000000000000"/>
    <w:charset w:val="86"/>
    <w:family w:val="script"/>
    <w:pitch w:val="default"/>
    <w:sig w:usb0="00000001" w:usb1="08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2"/>
  <w:doNotDisplayPageBoundaries w:val="true"/>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__Grammarly_42____i" w:val="H4sIAAAAAAAEAKtWckksSQxILCpxzi/NK1GyMqwFAAEhoTITAAAA"/>
    <w:docVar w:name="__Grammarly_42___1" w:val="H4sIAAAAAAAEAKtWcslP9kxRslIyNDYyM7AwtzC1tLAwtDAAAiUdpeDU4uLM/DyQAstaADUA+uksAAAA"/>
  </w:docVars>
  <w:rsids>
    <w:rsidRoot w:val="00CB00DF"/>
    <w:rsid w:val="00037065"/>
    <w:rsid w:val="000C7860"/>
    <w:rsid w:val="000D7EBA"/>
    <w:rsid w:val="00104C57"/>
    <w:rsid w:val="001164CD"/>
    <w:rsid w:val="0012103C"/>
    <w:rsid w:val="0012520F"/>
    <w:rsid w:val="00155717"/>
    <w:rsid w:val="00157D93"/>
    <w:rsid w:val="001837A3"/>
    <w:rsid w:val="001D04A9"/>
    <w:rsid w:val="00237463"/>
    <w:rsid w:val="002708B8"/>
    <w:rsid w:val="00272F4E"/>
    <w:rsid w:val="003252BE"/>
    <w:rsid w:val="00325DCC"/>
    <w:rsid w:val="0034638D"/>
    <w:rsid w:val="003A57B6"/>
    <w:rsid w:val="003C0AEB"/>
    <w:rsid w:val="00483A95"/>
    <w:rsid w:val="00484691"/>
    <w:rsid w:val="004A25B5"/>
    <w:rsid w:val="004F7688"/>
    <w:rsid w:val="005A53B5"/>
    <w:rsid w:val="006038E2"/>
    <w:rsid w:val="00632695"/>
    <w:rsid w:val="006467D8"/>
    <w:rsid w:val="006A531B"/>
    <w:rsid w:val="006D00E9"/>
    <w:rsid w:val="006F7693"/>
    <w:rsid w:val="00710140"/>
    <w:rsid w:val="00750CF1"/>
    <w:rsid w:val="00766228"/>
    <w:rsid w:val="00780B49"/>
    <w:rsid w:val="007F2275"/>
    <w:rsid w:val="008149CD"/>
    <w:rsid w:val="008A532C"/>
    <w:rsid w:val="00915F0F"/>
    <w:rsid w:val="009532DF"/>
    <w:rsid w:val="009953C8"/>
    <w:rsid w:val="00997019"/>
    <w:rsid w:val="009A5029"/>
    <w:rsid w:val="009D38D5"/>
    <w:rsid w:val="00A00B9C"/>
    <w:rsid w:val="00A53F26"/>
    <w:rsid w:val="00A927A1"/>
    <w:rsid w:val="00A92A54"/>
    <w:rsid w:val="00AA0CC5"/>
    <w:rsid w:val="00AB1F22"/>
    <w:rsid w:val="00AD7B7D"/>
    <w:rsid w:val="00AF2177"/>
    <w:rsid w:val="00B16AFE"/>
    <w:rsid w:val="00B65DD5"/>
    <w:rsid w:val="00BC2728"/>
    <w:rsid w:val="00BD10B6"/>
    <w:rsid w:val="00C07076"/>
    <w:rsid w:val="00C736EE"/>
    <w:rsid w:val="00CB00DF"/>
    <w:rsid w:val="00D11BE7"/>
    <w:rsid w:val="00D73C72"/>
    <w:rsid w:val="00DA0D5D"/>
    <w:rsid w:val="00E0592B"/>
    <w:rsid w:val="00E31738"/>
    <w:rsid w:val="00E86786"/>
    <w:rsid w:val="00EB7F4B"/>
    <w:rsid w:val="00ED2F80"/>
    <w:rsid w:val="00ED3260"/>
    <w:rsid w:val="00F1624E"/>
    <w:rsid w:val="00F32F8A"/>
    <w:rsid w:val="00F810AA"/>
    <w:rsid w:val="00F86F9E"/>
    <w:rsid w:val="00FA494D"/>
    <w:rsid w:val="00FB43EC"/>
    <w:rsid w:val="00FB6B40"/>
    <w:rsid w:val="D7DD570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rFonts w:ascii="Calibri" w:hAnsi="Calibri" w:eastAsia="宋体" w:cs="Times New Roman"/>
      <w:sz w:val="18"/>
      <w:szCs w:val="18"/>
    </w:rPr>
  </w:style>
  <w:style w:type="character" w:customStyle="1" w:styleId="8">
    <w:name w:val="页脚 字符"/>
    <w:basedOn w:val="6"/>
    <w:link w:val="2"/>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306</Words>
  <Characters>1745</Characters>
  <Lines>14</Lines>
  <Paragraphs>4</Paragraphs>
  <TotalTime>70</TotalTime>
  <ScaleCrop>false</ScaleCrop>
  <LinksUpToDate>false</LinksUpToDate>
  <CharactersWithSpaces>2047</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2018-09-29T10:33:00Z</dcterms:created>
  <dc:creator>陈媚</dc:creator>
  <cp:lastModifiedBy>greatwall</cp:lastModifiedBy>
  <dcterms:modified xsi:type="dcterms:W3CDTF">2021-10-14T17:36:59Z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