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ascii="Times New Roman" w:hAnsi="Times New Roman" w:eastAsia="仿宋_GB2312"/>
          <w:sz w:val="28"/>
          <w:szCs w:val="28"/>
        </w:rPr>
      </w:pPr>
    </w:p>
    <w:p>
      <w:pPr>
        <w:spacing w:line="440" w:lineRule="exact"/>
        <w:jc w:val="center"/>
        <w:rPr>
          <w:rFonts w:ascii="Times New Roman" w:hAnsi="Times New Roman" w:eastAsia="黑体"/>
          <w:sz w:val="30"/>
          <w:szCs w:val="30"/>
        </w:rPr>
      </w:pPr>
      <w:r>
        <w:rPr>
          <w:rFonts w:ascii="Times New Roman" w:hAnsi="Times New Roman" w:eastAsia="黑体"/>
          <w:sz w:val="30"/>
          <w:szCs w:val="30"/>
        </w:rPr>
        <w:t>经营者集中简易案件公示表</w:t>
      </w:r>
    </w:p>
    <w:p>
      <w:pPr>
        <w:spacing w:line="440" w:lineRule="exact"/>
        <w:ind w:firstLine="845" w:firstLineChars="302"/>
        <w:rPr>
          <w:rFonts w:ascii="Times New Roman"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案件名称</w:t>
            </w:r>
          </w:p>
        </w:tc>
        <w:tc>
          <w:tcPr>
            <w:tcW w:w="6949" w:type="dxa"/>
            <w:gridSpan w:val="2"/>
          </w:tcPr>
          <w:p>
            <w:pPr>
              <w:tabs>
                <w:tab w:val="left" w:pos="1215"/>
              </w:tabs>
              <w:spacing w:line="500" w:lineRule="exact"/>
              <w:rPr>
                <w:rFonts w:ascii="Times New Roman" w:hAnsi="Times New Roman" w:eastAsia="仿宋_GB2312"/>
                <w:sz w:val="28"/>
                <w:szCs w:val="28"/>
              </w:rPr>
            </w:pPr>
            <w:r>
              <w:rPr>
                <w:rFonts w:hint="eastAsia" w:ascii="Times New Roman" w:hAnsi="Times New Roman" w:eastAsia="仿宋_GB2312"/>
                <w:sz w:val="28"/>
                <w:szCs w:val="28"/>
              </w:rPr>
              <w:t>大连万达商业管理集团股份有限公司收购上海丙晟科技有限公司股权案</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交易概况（限200字内）</w:t>
            </w:r>
          </w:p>
        </w:tc>
        <w:tc>
          <w:tcPr>
            <w:tcW w:w="6949" w:type="dxa"/>
            <w:gridSpan w:val="2"/>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2021年7月22日，大连万达商业管理集团股份有限公司（“</w:t>
            </w:r>
            <w:r>
              <w:rPr>
                <w:rFonts w:hint="eastAsia" w:ascii="Times New Roman" w:hAnsi="Times New Roman" w:eastAsia="仿宋_GB2312"/>
                <w:b/>
                <w:sz w:val="28"/>
                <w:szCs w:val="28"/>
              </w:rPr>
              <w:t>大连万达</w:t>
            </w:r>
            <w:r>
              <w:rPr>
                <w:rFonts w:hint="eastAsia" w:ascii="Times New Roman" w:hAnsi="Times New Roman" w:eastAsia="仿宋_GB2312"/>
                <w:sz w:val="28"/>
                <w:szCs w:val="28"/>
              </w:rPr>
              <w:t>”）、林芝腾讯科技有限公司（“</w:t>
            </w:r>
            <w:r>
              <w:rPr>
                <w:rFonts w:hint="eastAsia" w:ascii="Times New Roman" w:hAnsi="Times New Roman" w:eastAsia="仿宋_GB2312"/>
                <w:b/>
                <w:sz w:val="28"/>
                <w:szCs w:val="28"/>
              </w:rPr>
              <w:t>林芝腾讯</w:t>
            </w:r>
            <w:r>
              <w:rPr>
                <w:rFonts w:hint="eastAsia" w:ascii="Times New Roman" w:hAnsi="Times New Roman" w:eastAsia="仿宋_GB2312"/>
                <w:sz w:val="28"/>
                <w:szCs w:val="28"/>
              </w:rPr>
              <w:t>”）与深圳高灯计算机科技有限公司（“</w:t>
            </w:r>
            <w:r>
              <w:rPr>
                <w:rFonts w:hint="eastAsia" w:ascii="Times New Roman" w:hAnsi="Times New Roman" w:eastAsia="仿宋_GB2312"/>
                <w:b/>
                <w:sz w:val="28"/>
                <w:szCs w:val="28"/>
              </w:rPr>
              <w:t>高灯</w:t>
            </w:r>
            <w:r>
              <w:rPr>
                <w:rFonts w:hint="eastAsia" w:ascii="Times New Roman" w:hAnsi="Times New Roman" w:eastAsia="仿宋_GB2312"/>
                <w:sz w:val="28"/>
                <w:szCs w:val="28"/>
              </w:rPr>
              <w:t>”）签订了《股权转让协议》，林芝腾讯和高灯拟将其持有的合计2</w:t>
            </w:r>
            <w:r>
              <w:rPr>
                <w:rFonts w:ascii="Times New Roman" w:hAnsi="Times New Roman" w:eastAsia="仿宋_GB2312"/>
                <w:sz w:val="28"/>
                <w:szCs w:val="28"/>
              </w:rPr>
              <w:t>9</w:t>
            </w:r>
            <w:r>
              <w:rPr>
                <w:rFonts w:hint="eastAsia" w:ascii="Times New Roman" w:hAnsi="Times New Roman" w:eastAsia="仿宋_GB2312"/>
                <w:sz w:val="28"/>
                <w:szCs w:val="28"/>
              </w:rPr>
              <w:t>%</w:t>
            </w:r>
            <w:r>
              <w:rPr>
                <w:rFonts w:ascii="Times New Roman" w:hAnsi="Times New Roman" w:eastAsia="仿宋_GB2312"/>
                <w:sz w:val="28"/>
                <w:szCs w:val="28"/>
              </w:rPr>
              <w:t>的</w:t>
            </w:r>
            <w:r>
              <w:rPr>
                <w:rFonts w:hint="eastAsia" w:ascii="Times New Roman" w:hAnsi="Times New Roman" w:eastAsia="仿宋_GB2312"/>
                <w:sz w:val="28"/>
                <w:szCs w:val="28"/>
              </w:rPr>
              <w:t>股权转让给大连万达（“</w:t>
            </w:r>
            <w:r>
              <w:rPr>
                <w:rFonts w:hint="eastAsia" w:ascii="Times New Roman" w:hAnsi="Times New Roman" w:eastAsia="仿宋_GB2312"/>
                <w:b/>
                <w:sz w:val="28"/>
                <w:szCs w:val="28"/>
              </w:rPr>
              <w:t>拟议交易</w:t>
            </w:r>
            <w:r>
              <w:rPr>
                <w:rFonts w:hint="eastAsia" w:ascii="Times New Roman" w:hAnsi="Times New Roman" w:eastAsia="仿宋_GB2312"/>
                <w:sz w:val="28"/>
                <w:szCs w:val="28"/>
              </w:rPr>
              <w:t>”）。拟议交易完成后，大连万达将持有目标公司80%的股权，并取得对目标公司的单独控制。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参与集中的经营者简介</w:t>
            </w:r>
          </w:p>
        </w:tc>
        <w:tc>
          <w:tcPr>
            <w:tcW w:w="1796"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1</w:t>
            </w:r>
            <w:r>
              <w:rPr>
                <w:rFonts w:hint="eastAsia" w:ascii="Times New Roman" w:hAnsi="Times New Roman" w:eastAsia="仿宋_GB2312"/>
                <w:sz w:val="28"/>
                <w:szCs w:val="28"/>
              </w:rPr>
              <w:t>、</w:t>
            </w:r>
            <w:r>
              <w:rPr>
                <w:rFonts w:ascii="Times New Roman" w:hAnsi="Times New Roman" w:eastAsia="仿宋_GB2312"/>
                <w:sz w:val="28"/>
                <w:szCs w:val="28"/>
              </w:rPr>
              <w:t>大连万达</w:t>
            </w:r>
          </w:p>
        </w:tc>
        <w:tc>
          <w:tcPr>
            <w:tcW w:w="5153"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大连万达</w:t>
            </w:r>
            <w:r>
              <w:rPr>
                <w:rFonts w:hint="eastAsia" w:ascii="Times New Roman" w:hAnsi="Times New Roman" w:eastAsia="仿宋_GB2312"/>
                <w:sz w:val="28"/>
                <w:szCs w:val="28"/>
              </w:rPr>
              <w:t>2</w:t>
            </w:r>
            <w:r>
              <w:rPr>
                <w:rFonts w:ascii="Times New Roman" w:hAnsi="Times New Roman" w:eastAsia="仿宋_GB2312"/>
                <w:sz w:val="28"/>
                <w:szCs w:val="28"/>
              </w:rPr>
              <w:t>002年成立于大连</w:t>
            </w:r>
            <w:r>
              <w:rPr>
                <w:rFonts w:hint="eastAsia" w:ascii="Times New Roman" w:hAnsi="Times New Roman" w:eastAsia="仿宋_GB2312"/>
                <w:sz w:val="28"/>
                <w:szCs w:val="28"/>
              </w:rPr>
              <w:t>，</w:t>
            </w:r>
            <w:r>
              <w:rPr>
                <w:rFonts w:ascii="Times New Roman" w:hAnsi="Times New Roman" w:eastAsia="仿宋_GB2312"/>
                <w:sz w:val="28"/>
                <w:szCs w:val="28"/>
              </w:rPr>
              <w:t>主要在中国境内从事</w:t>
            </w:r>
            <w:r>
              <w:rPr>
                <w:rFonts w:hint="eastAsia" w:ascii="Times New Roman" w:hAnsi="Times New Roman" w:eastAsia="仿宋_GB2312"/>
                <w:sz w:val="28"/>
                <w:szCs w:val="28"/>
              </w:rPr>
              <w:t>投资物业租赁及物业管理业务和酒店业务。其最终控制为王健林，</w:t>
            </w:r>
            <w:r>
              <w:rPr>
                <w:rFonts w:ascii="Times New Roman" w:hAnsi="Times New Roman" w:eastAsia="仿宋_GB2312"/>
                <w:sz w:val="28"/>
                <w:szCs w:val="28"/>
              </w:rPr>
              <w:t>主要通过其控制的万达集团在</w:t>
            </w:r>
            <w:r>
              <w:rPr>
                <w:rFonts w:hint="eastAsia" w:ascii="Times New Roman" w:hAnsi="Times New Roman" w:eastAsia="仿宋_GB2312"/>
                <w:sz w:val="28"/>
                <w:szCs w:val="28"/>
              </w:rPr>
              <w:t>不动产、影视、体育、旅游、儿童产业等多个行业从事业务。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1796" w:type="dxa"/>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2、目标公司</w:t>
            </w:r>
          </w:p>
        </w:tc>
        <w:tc>
          <w:tcPr>
            <w:tcW w:w="5153"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目标公司</w:t>
            </w:r>
            <w:r>
              <w:rPr>
                <w:rFonts w:hint="eastAsia" w:ascii="Times New Roman" w:hAnsi="Times New Roman" w:eastAsia="仿宋_GB2312"/>
                <w:sz w:val="28"/>
                <w:szCs w:val="28"/>
              </w:rPr>
              <w:t>2</w:t>
            </w:r>
            <w:r>
              <w:rPr>
                <w:rFonts w:ascii="Times New Roman" w:hAnsi="Times New Roman" w:eastAsia="仿宋_GB2312"/>
                <w:sz w:val="28"/>
                <w:szCs w:val="28"/>
              </w:rPr>
              <w:t>018年成立于上海</w:t>
            </w:r>
            <w:r>
              <w:rPr>
                <w:rFonts w:hint="eastAsia" w:ascii="Times New Roman" w:hAnsi="Times New Roman" w:eastAsia="仿宋_GB2312"/>
                <w:sz w:val="28"/>
                <w:szCs w:val="28"/>
              </w:rPr>
              <w:t>，主要在中国境内从事零售电商企业级SaaS服务，针对线下消费场景打造基于购物中心的产业互联网解决方案，为购物中心及品牌商户提供数字化升级等服务。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简易案件理由（可以单选，也可以多选）</w:t>
            </w: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ascii="Times New Roman" w:hAnsi="Times New Roman" w:eastAsia="仿宋_GB2312"/>
                <w:sz w:val="28"/>
                <w:szCs w:val="28"/>
              </w:rPr>
              <w:sym w:font="Wingdings" w:char="F0FE"/>
            </w:r>
            <w:r>
              <w:rPr>
                <w:rFonts w:ascii="Times New Roman" w:hAnsi="Times New Roman" w:eastAsia="仿宋_GB2312"/>
                <w:sz w:val="28"/>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备注</w:t>
            </w:r>
          </w:p>
        </w:tc>
        <w:tc>
          <w:tcPr>
            <w:tcW w:w="6949" w:type="dxa"/>
            <w:gridSpan w:val="2"/>
          </w:tcPr>
          <w:p>
            <w:pPr>
              <w:spacing w:line="500" w:lineRule="exact"/>
              <w:rPr>
                <w:rFonts w:ascii="Times New Roman" w:hAnsi="Times New Roman" w:eastAsia="仿宋_GB2312"/>
                <w:sz w:val="28"/>
                <w:szCs w:val="28"/>
              </w:rPr>
            </w:pPr>
            <w:r>
              <w:rPr>
                <w:rFonts w:ascii="Times New Roman" w:hAnsi="Times New Roman" w:eastAsia="仿宋_GB2312"/>
                <w:sz w:val="28"/>
                <w:szCs w:val="28"/>
              </w:rPr>
              <w:t>相关市场</w:t>
            </w:r>
            <w:r>
              <w:rPr>
                <w:rFonts w:hint="eastAsia" w:ascii="Times New Roman" w:hAnsi="Times New Roman" w:eastAsia="仿宋_GB2312"/>
                <w:sz w:val="28"/>
                <w:szCs w:val="28"/>
              </w:rPr>
              <w:t>：</w:t>
            </w:r>
            <w:r>
              <w:rPr>
                <w:rFonts w:ascii="Times New Roman" w:hAnsi="Times New Roman" w:eastAsia="仿宋_GB2312"/>
                <w:sz w:val="28"/>
                <w:szCs w:val="28"/>
              </w:rPr>
              <w:t>中国</w:t>
            </w:r>
            <w:r>
              <w:rPr>
                <w:rFonts w:hint="eastAsia" w:ascii="Times New Roman" w:hAnsi="Times New Roman" w:eastAsia="仿宋_GB2312"/>
                <w:sz w:val="28"/>
                <w:szCs w:val="28"/>
                <w:lang w:eastAsia="zh-CN"/>
              </w:rPr>
              <w:t>境内</w:t>
            </w:r>
            <w:r>
              <w:rPr>
                <w:rFonts w:ascii="Times New Roman" w:hAnsi="Times New Roman" w:eastAsia="仿宋_GB2312"/>
                <w:sz w:val="28"/>
                <w:szCs w:val="28"/>
              </w:rPr>
              <w:t>零售电商企业级</w:t>
            </w:r>
            <w:r>
              <w:rPr>
                <w:rFonts w:hint="eastAsia" w:ascii="Times New Roman" w:hAnsi="Times New Roman" w:eastAsia="仿宋_GB2312"/>
                <w:sz w:val="28"/>
                <w:szCs w:val="28"/>
              </w:rPr>
              <w:t>Saa</w:t>
            </w:r>
            <w:r>
              <w:rPr>
                <w:rFonts w:ascii="Times New Roman" w:hAnsi="Times New Roman" w:eastAsia="仿宋_GB2312"/>
                <w:sz w:val="28"/>
                <w:szCs w:val="28"/>
              </w:rPr>
              <w:t>S服务</w:t>
            </w:r>
          </w:p>
          <w:p>
            <w:pPr>
              <w:spacing w:line="500" w:lineRule="exact"/>
              <w:rPr>
                <w:rFonts w:ascii="Times New Roman" w:hAnsi="Times New Roman" w:eastAsia="仿宋_GB2312"/>
                <w:sz w:val="28"/>
                <w:szCs w:val="28"/>
              </w:rPr>
            </w:pPr>
            <w:r>
              <w:rPr>
                <w:rFonts w:ascii="Times New Roman" w:hAnsi="Times New Roman" w:eastAsia="仿宋_GB2312"/>
                <w:sz w:val="28"/>
                <w:szCs w:val="28"/>
              </w:rPr>
              <w:t>市场份额</w:t>
            </w:r>
            <w:r>
              <w:rPr>
                <w:rFonts w:hint="eastAsia" w:ascii="Times New Roman" w:hAnsi="Times New Roman" w:eastAsia="仿宋_GB2312"/>
                <w:sz w:val="28"/>
                <w:szCs w:val="28"/>
              </w:rPr>
              <w:t>：</w:t>
            </w:r>
            <w:r>
              <w:rPr>
                <w:rFonts w:ascii="Times New Roman" w:hAnsi="Times New Roman" w:eastAsia="仿宋_GB2312"/>
                <w:sz w:val="28"/>
                <w:szCs w:val="28"/>
              </w:rPr>
              <w:t>目标公司</w:t>
            </w:r>
            <w:r>
              <w:rPr>
                <w:rFonts w:hint="eastAsia" w:ascii="Times New Roman" w:hAnsi="Times New Roman" w:eastAsia="仿宋_GB2312"/>
                <w:sz w:val="28"/>
                <w:szCs w:val="28"/>
              </w:rPr>
              <w:t>：[</w:t>
            </w:r>
            <w:r>
              <w:rPr>
                <w:rFonts w:ascii="Times New Roman" w:hAnsi="Times New Roman" w:eastAsia="仿宋_GB2312"/>
                <w:sz w:val="28"/>
                <w:szCs w:val="28"/>
              </w:rPr>
              <w:t>10-15]%</w:t>
            </w:r>
          </w:p>
        </w:tc>
      </w:tr>
    </w:tbl>
    <w:p>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2"/>
  <w:bordersDoNotSurroundHeader w:val="true"/>
  <w:bordersDoNotSurroundFooter w:val="true"/>
  <w:doNotTrackMoves/>
  <w:doNotTrackFormatting/>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352AF"/>
    <w:rsid w:val="00040B55"/>
    <w:rsid w:val="00045653"/>
    <w:rsid w:val="00050DC7"/>
    <w:rsid w:val="000677C0"/>
    <w:rsid w:val="0007346C"/>
    <w:rsid w:val="00077988"/>
    <w:rsid w:val="00082207"/>
    <w:rsid w:val="0008693D"/>
    <w:rsid w:val="00091462"/>
    <w:rsid w:val="00094095"/>
    <w:rsid w:val="00096AEF"/>
    <w:rsid w:val="000E47ED"/>
    <w:rsid w:val="000E7773"/>
    <w:rsid w:val="001015A6"/>
    <w:rsid w:val="00113C30"/>
    <w:rsid w:val="00125628"/>
    <w:rsid w:val="001430D6"/>
    <w:rsid w:val="00193615"/>
    <w:rsid w:val="001B683F"/>
    <w:rsid w:val="001D1C76"/>
    <w:rsid w:val="001F4236"/>
    <w:rsid w:val="001F6976"/>
    <w:rsid w:val="0020168A"/>
    <w:rsid w:val="0020710D"/>
    <w:rsid w:val="00217041"/>
    <w:rsid w:val="00245776"/>
    <w:rsid w:val="00256CDF"/>
    <w:rsid w:val="0028764C"/>
    <w:rsid w:val="002B1805"/>
    <w:rsid w:val="002B5865"/>
    <w:rsid w:val="002C2F74"/>
    <w:rsid w:val="002F1B15"/>
    <w:rsid w:val="002F2D60"/>
    <w:rsid w:val="002F4CAC"/>
    <w:rsid w:val="002F5D2C"/>
    <w:rsid w:val="00303122"/>
    <w:rsid w:val="003072C7"/>
    <w:rsid w:val="00307976"/>
    <w:rsid w:val="00317B10"/>
    <w:rsid w:val="00317F92"/>
    <w:rsid w:val="00322739"/>
    <w:rsid w:val="00335871"/>
    <w:rsid w:val="003447A1"/>
    <w:rsid w:val="003641BC"/>
    <w:rsid w:val="003728AD"/>
    <w:rsid w:val="0037471B"/>
    <w:rsid w:val="00374B8A"/>
    <w:rsid w:val="0038009B"/>
    <w:rsid w:val="00394C6A"/>
    <w:rsid w:val="003D0DC2"/>
    <w:rsid w:val="003E7BA4"/>
    <w:rsid w:val="003F7F2C"/>
    <w:rsid w:val="00411328"/>
    <w:rsid w:val="00433FC3"/>
    <w:rsid w:val="00434B73"/>
    <w:rsid w:val="0044753F"/>
    <w:rsid w:val="004558B4"/>
    <w:rsid w:val="004571A2"/>
    <w:rsid w:val="004579A1"/>
    <w:rsid w:val="00462174"/>
    <w:rsid w:val="0046767F"/>
    <w:rsid w:val="0048457B"/>
    <w:rsid w:val="004C4EF8"/>
    <w:rsid w:val="004D5718"/>
    <w:rsid w:val="004D63C1"/>
    <w:rsid w:val="004E6409"/>
    <w:rsid w:val="004F3BF8"/>
    <w:rsid w:val="005129DC"/>
    <w:rsid w:val="005148A2"/>
    <w:rsid w:val="005202B8"/>
    <w:rsid w:val="005235A8"/>
    <w:rsid w:val="00547D47"/>
    <w:rsid w:val="00555C3E"/>
    <w:rsid w:val="00564F5D"/>
    <w:rsid w:val="00566BDD"/>
    <w:rsid w:val="00576828"/>
    <w:rsid w:val="00580A39"/>
    <w:rsid w:val="00595357"/>
    <w:rsid w:val="005A1DBF"/>
    <w:rsid w:val="005A4CB4"/>
    <w:rsid w:val="005B26C0"/>
    <w:rsid w:val="005D3849"/>
    <w:rsid w:val="005D49CC"/>
    <w:rsid w:val="005F0CAB"/>
    <w:rsid w:val="005F167B"/>
    <w:rsid w:val="005F5496"/>
    <w:rsid w:val="00654882"/>
    <w:rsid w:val="00661C72"/>
    <w:rsid w:val="0066507E"/>
    <w:rsid w:val="006915CB"/>
    <w:rsid w:val="00695297"/>
    <w:rsid w:val="006A5595"/>
    <w:rsid w:val="006B46C8"/>
    <w:rsid w:val="006F0BA9"/>
    <w:rsid w:val="00716350"/>
    <w:rsid w:val="00717878"/>
    <w:rsid w:val="0071797B"/>
    <w:rsid w:val="00730562"/>
    <w:rsid w:val="00732FA4"/>
    <w:rsid w:val="007650D2"/>
    <w:rsid w:val="00772472"/>
    <w:rsid w:val="00777CC9"/>
    <w:rsid w:val="00790BCC"/>
    <w:rsid w:val="00792708"/>
    <w:rsid w:val="007A6E43"/>
    <w:rsid w:val="007B0FA1"/>
    <w:rsid w:val="007C7059"/>
    <w:rsid w:val="007F05BD"/>
    <w:rsid w:val="008000ED"/>
    <w:rsid w:val="0081144E"/>
    <w:rsid w:val="00820CC2"/>
    <w:rsid w:val="008469BB"/>
    <w:rsid w:val="00867DF8"/>
    <w:rsid w:val="00894BE7"/>
    <w:rsid w:val="00895929"/>
    <w:rsid w:val="00897511"/>
    <w:rsid w:val="008A6BD6"/>
    <w:rsid w:val="008B112B"/>
    <w:rsid w:val="008C154B"/>
    <w:rsid w:val="008C3586"/>
    <w:rsid w:val="008D34EE"/>
    <w:rsid w:val="008E5D22"/>
    <w:rsid w:val="00930FF2"/>
    <w:rsid w:val="00937CFD"/>
    <w:rsid w:val="009464AA"/>
    <w:rsid w:val="00946D9D"/>
    <w:rsid w:val="00956066"/>
    <w:rsid w:val="00972D0E"/>
    <w:rsid w:val="0098423D"/>
    <w:rsid w:val="009B0588"/>
    <w:rsid w:val="009C0674"/>
    <w:rsid w:val="009D2FAD"/>
    <w:rsid w:val="00A03CB5"/>
    <w:rsid w:val="00A27451"/>
    <w:rsid w:val="00A54A96"/>
    <w:rsid w:val="00A577F4"/>
    <w:rsid w:val="00A92B80"/>
    <w:rsid w:val="00AA3B5D"/>
    <w:rsid w:val="00AA64BC"/>
    <w:rsid w:val="00AB0CB5"/>
    <w:rsid w:val="00AD06A4"/>
    <w:rsid w:val="00AD3A60"/>
    <w:rsid w:val="00AE4447"/>
    <w:rsid w:val="00AF7325"/>
    <w:rsid w:val="00B205CD"/>
    <w:rsid w:val="00B21581"/>
    <w:rsid w:val="00B24159"/>
    <w:rsid w:val="00B25AB1"/>
    <w:rsid w:val="00B272B8"/>
    <w:rsid w:val="00B332B0"/>
    <w:rsid w:val="00B336F3"/>
    <w:rsid w:val="00B41110"/>
    <w:rsid w:val="00B62047"/>
    <w:rsid w:val="00B912EB"/>
    <w:rsid w:val="00BA0750"/>
    <w:rsid w:val="00BA63E8"/>
    <w:rsid w:val="00BB17DB"/>
    <w:rsid w:val="00BB1ED7"/>
    <w:rsid w:val="00BB2377"/>
    <w:rsid w:val="00BF0AB5"/>
    <w:rsid w:val="00BF49D5"/>
    <w:rsid w:val="00C063FA"/>
    <w:rsid w:val="00C11942"/>
    <w:rsid w:val="00C21621"/>
    <w:rsid w:val="00C26C7F"/>
    <w:rsid w:val="00C3228B"/>
    <w:rsid w:val="00C40E5F"/>
    <w:rsid w:val="00C4664E"/>
    <w:rsid w:val="00C8372F"/>
    <w:rsid w:val="00C8421A"/>
    <w:rsid w:val="00C9068E"/>
    <w:rsid w:val="00C96B80"/>
    <w:rsid w:val="00CA08FC"/>
    <w:rsid w:val="00CB2A9F"/>
    <w:rsid w:val="00CB4EF2"/>
    <w:rsid w:val="00CC2CC0"/>
    <w:rsid w:val="00CC417C"/>
    <w:rsid w:val="00CC5ABD"/>
    <w:rsid w:val="00CD09C3"/>
    <w:rsid w:val="00CF13DB"/>
    <w:rsid w:val="00D153B8"/>
    <w:rsid w:val="00D21777"/>
    <w:rsid w:val="00D45987"/>
    <w:rsid w:val="00DB1E7B"/>
    <w:rsid w:val="00DC0369"/>
    <w:rsid w:val="00DD21F9"/>
    <w:rsid w:val="00DE0A14"/>
    <w:rsid w:val="00DE243D"/>
    <w:rsid w:val="00E06AB9"/>
    <w:rsid w:val="00E165AD"/>
    <w:rsid w:val="00E26150"/>
    <w:rsid w:val="00E35A89"/>
    <w:rsid w:val="00E37584"/>
    <w:rsid w:val="00E44E83"/>
    <w:rsid w:val="00E63F70"/>
    <w:rsid w:val="00E81B19"/>
    <w:rsid w:val="00E95F36"/>
    <w:rsid w:val="00E9684C"/>
    <w:rsid w:val="00E97E1F"/>
    <w:rsid w:val="00ED21B1"/>
    <w:rsid w:val="00EF121D"/>
    <w:rsid w:val="00F03796"/>
    <w:rsid w:val="00F14A5B"/>
    <w:rsid w:val="00F31673"/>
    <w:rsid w:val="00F43B71"/>
    <w:rsid w:val="00F57F3A"/>
    <w:rsid w:val="00F65475"/>
    <w:rsid w:val="00F66990"/>
    <w:rsid w:val="00F73188"/>
    <w:rsid w:val="00F85CE2"/>
    <w:rsid w:val="00F87C1F"/>
    <w:rsid w:val="00FB7284"/>
    <w:rsid w:val="00FC793D"/>
    <w:rsid w:val="00FE7ECD"/>
    <w:rsid w:val="00FF52B1"/>
    <w:rsid w:val="477D080B"/>
  </w:rsids>
  <m:mathPr>
    <m:mathFont m:val="Cambria Math"/>
    <m:brkBin m:val="before"/>
    <m:brkBinSub m:val="--"/>
    <m:smallFrac m:val="1"/>
    <m:dispDef/>
    <m:lMargin m:val="0"/>
    <m:rMargin m:val="0"/>
    <m:defJc m:val="centerGroup"/>
    <m:wrapIndent m:val="1440"/>
    <m:intLim m:val="subSup"/>
    <m:naryLim m:val="undOvr"/>
  </m:mathPr>
  <w:doNotAutoCompressPictures/>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0"/>
    <w:semiHidden/>
    <w:unhideWhenUsed/>
    <w:qFormat/>
    <w:uiPriority w:val="99"/>
    <w:pPr>
      <w:snapToGrid w:val="0"/>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endnote reference"/>
    <w:semiHidden/>
    <w:unhideWhenUsed/>
    <w:qFormat/>
    <w:uiPriority w:val="99"/>
    <w:rPr>
      <w:vertAlign w:val="superscript"/>
    </w:rPr>
  </w:style>
  <w:style w:type="character" w:customStyle="1" w:styleId="10">
    <w:name w:val="尾注文本 Char"/>
    <w:basedOn w:val="8"/>
    <w:link w:val="2"/>
    <w:semiHidden/>
    <w:qFormat/>
    <w:uiPriority w:val="99"/>
  </w:style>
  <w:style w:type="character" w:customStyle="1" w:styleId="11">
    <w:name w:val="页眉 Char"/>
    <w:link w:val="5"/>
    <w:qFormat/>
    <w:uiPriority w:val="99"/>
    <w:rPr>
      <w:sz w:val="18"/>
      <w:szCs w:val="18"/>
    </w:rPr>
  </w:style>
  <w:style w:type="character" w:customStyle="1" w:styleId="12">
    <w:name w:val="页脚 Char"/>
    <w:link w:val="4"/>
    <w:qFormat/>
    <w:uiPriority w:val="99"/>
    <w:rPr>
      <w:sz w:val="18"/>
      <w:szCs w:val="18"/>
    </w:rPr>
  </w:style>
  <w:style w:type="character" w:customStyle="1" w:styleId="13">
    <w:name w:val="批注框文本 Char"/>
    <w:basedOn w:val="8"/>
    <w:link w:val="3"/>
    <w:semiHidden/>
    <w:qFormat/>
    <w:uiPriority w:val="99"/>
    <w:rPr>
      <w:kern w:val="2"/>
      <w:sz w:val="18"/>
      <w:szCs w:val="18"/>
      <w:lang w:val="en-US"/>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115</Words>
  <Characters>659</Characters>
  <Lines>5</Lines>
  <Paragraphs>1</Paragraphs>
  <TotalTime>56</TotalTime>
  <ScaleCrop>false</ScaleCrop>
  <LinksUpToDate>false</LinksUpToDate>
  <CharactersWithSpaces>773</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2021-06-08T12:23:00Z</dcterms:created>
  <dc:creator>dell</dc:creator>
  <cp:lastModifiedBy>greatwall</cp:lastModifiedBy>
  <cp:lastPrinted>2014-10-08T10:48:00Z</cp:lastPrinted>
  <dcterms:modified xsi:type="dcterms:W3CDTF">2021-11-17T10:37:30Z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y fmtid="{D5CDD505-2E9C-101B-9397-08002B2CF9AE}" pid="12" name="KSOProductBuildVer">
    <vt:lpwstr>2052-11.8.2.9695</vt:lpwstr>
  </property>
</Properties>
</file>