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ascii="Times New Roman" w:hAnsi="Times New Roman"/>
          <w:b/>
          <w:szCs w:val="21"/>
        </w:rPr>
      </w:pPr>
      <w:r>
        <w:rPr>
          <w:rFonts w:hint="eastAsia" w:ascii="Times New Roman" w:hAnsi="Times New Roman"/>
          <w:b/>
          <w:szCs w:val="21"/>
        </w:rPr>
        <w:t>附件2</w:t>
      </w:r>
    </w:p>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仿宋_GB2312" w:hAnsi="Times New Roman" w:eastAsia="仿宋_GB2312"/>
          <w:sz w:val="28"/>
          <w:szCs w:val="28"/>
        </w:rPr>
      </w:pPr>
    </w:p>
    <w:tbl>
      <w:tblPr>
        <w:tblStyle w:val="2"/>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胜科能源投资（上海）有限公司与广州旭智股权投资管理有限责任公司收购深圳辉飏新能源投资咨询有限责任公司股权案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ind w:firstLine="480" w:firstLineChars="200"/>
              <w:rPr>
                <w:rFonts w:ascii="仿宋" w:hAnsi="仿宋" w:eastAsia="仿宋" w:cs="宋体"/>
                <w:color w:val="333333"/>
                <w:kern w:val="0"/>
                <w:sz w:val="24"/>
                <w:szCs w:val="24"/>
              </w:rPr>
            </w:pPr>
          </w:p>
          <w:p>
            <w:pPr>
              <w:spacing w:line="500" w:lineRule="exact"/>
              <w:ind w:firstLine="480" w:firstLineChars="200"/>
              <w:rPr>
                <w:rFonts w:ascii="仿宋" w:hAnsi="仿宋" w:eastAsia="仿宋" w:cs="宋体"/>
                <w:color w:val="333333"/>
                <w:kern w:val="0"/>
                <w:sz w:val="24"/>
                <w:szCs w:val="24"/>
              </w:rPr>
            </w:pPr>
            <w:r>
              <w:rPr>
                <w:rFonts w:hint="eastAsia" w:ascii="仿宋" w:hAnsi="仿宋" w:eastAsia="仿宋" w:cs="宋体"/>
                <w:color w:val="333333"/>
                <w:kern w:val="0"/>
                <w:sz w:val="24"/>
                <w:szCs w:val="24"/>
              </w:rPr>
              <w:t>交易前，深圳中广核三期产业投资基金合伙企业（有限合伙）直接或间接控制本交易的目标公司深圳辉飏</w:t>
            </w:r>
            <w:r>
              <w:rPr>
                <w:rFonts w:hint="eastAsia" w:ascii="仿宋" w:hAnsi="仿宋" w:eastAsia="仿宋" w:cs="宋体"/>
                <w:color w:val="333333"/>
                <w:kern w:val="0"/>
                <w:sz w:val="24"/>
                <w:szCs w:val="24"/>
                <w:lang w:eastAsia="zh-CN"/>
              </w:rPr>
              <w:t>及其旗</w:t>
            </w:r>
            <w:bookmarkStart w:id="0" w:name="_GoBack"/>
            <w:r>
              <w:rPr>
                <w:rFonts w:hint="eastAsia" w:ascii="仿宋" w:hAnsi="仿宋" w:eastAsia="仿宋" w:cs="宋体"/>
                <w:color w:val="333333"/>
                <w:kern w:val="0"/>
                <w:sz w:val="24"/>
                <w:szCs w:val="24"/>
                <w:lang w:eastAsia="zh-CN"/>
              </w:rPr>
              <w:t>下</w:t>
            </w:r>
            <w:r>
              <w:rPr>
                <w:rFonts w:hint="eastAsia" w:ascii="仿宋" w:hAnsi="仿宋" w:eastAsia="仿宋" w:cs="宋体"/>
                <w:color w:val="333333"/>
                <w:kern w:val="0"/>
                <w:sz w:val="24"/>
                <w:szCs w:val="24"/>
              </w:rPr>
              <w:t>十家新能源企业。中广核三期基金会将其在这十家企业的控制权转移到目标公司深圳辉飏名下。</w:t>
            </w:r>
          </w:p>
          <w:bookmarkEnd w:id="0"/>
          <w:p>
            <w:pPr>
              <w:spacing w:line="500" w:lineRule="exact"/>
              <w:ind w:firstLine="480" w:firstLineChars="200"/>
              <w:rPr>
                <w:rFonts w:ascii="仿宋" w:hAnsi="仿宋" w:eastAsia="仿宋" w:cs="宋体"/>
                <w:color w:val="333333"/>
                <w:kern w:val="0"/>
                <w:sz w:val="24"/>
                <w:szCs w:val="24"/>
              </w:rPr>
            </w:pPr>
            <w:r>
              <w:rPr>
                <w:rFonts w:hint="eastAsia" w:ascii="仿宋" w:hAnsi="仿宋" w:eastAsia="仿宋" w:cs="宋体"/>
                <w:color w:val="333333"/>
                <w:kern w:val="0"/>
                <w:sz w:val="24"/>
                <w:szCs w:val="24"/>
              </w:rPr>
              <w:t>交易后，收购方胜科能源和广州旭智的母公司旭智资本有限公司将对深圳辉飏及十家企业拥有共同控制权。本交易在界定相关市场、计算市场份额和进行竞争分析时，已将十家企业的相关业务考虑在内。</w:t>
            </w:r>
          </w:p>
          <w:p>
            <w:pPr>
              <w:ind w:left="360"/>
              <w:rPr>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1、胜科能源投资（上海）有限公司 （“</w:t>
            </w:r>
            <w:r>
              <w:rPr>
                <w:rFonts w:hint="eastAsia" w:ascii="仿宋" w:hAnsi="仿宋" w:eastAsia="仿宋" w:cs="宋体"/>
                <w:b/>
                <w:bCs/>
                <w:color w:val="333333"/>
                <w:kern w:val="0"/>
                <w:sz w:val="24"/>
                <w:szCs w:val="24"/>
              </w:rPr>
              <w:t>胜科能源</w:t>
            </w:r>
            <w:r>
              <w:rPr>
                <w:rFonts w:hint="eastAsia" w:ascii="仿宋" w:hAnsi="仿宋" w:eastAsia="仿宋" w:cs="宋体"/>
                <w:color w:val="333333"/>
                <w:kern w:val="0"/>
                <w:sz w:val="24"/>
                <w:szCs w:val="24"/>
              </w:rPr>
              <w:t>”）</w:t>
            </w:r>
          </w:p>
        </w:tc>
        <w:tc>
          <w:tcPr>
            <w:tcW w:w="5153" w:type="dxa"/>
          </w:tcPr>
          <w:p>
            <w:pPr>
              <w:spacing w:line="500" w:lineRule="exact"/>
              <w:ind w:firstLine="480" w:firstLineChars="200"/>
              <w:rPr>
                <w:rFonts w:ascii="仿宋" w:hAnsi="仿宋" w:eastAsia="仿宋" w:cs="宋体"/>
                <w:color w:val="333333"/>
                <w:kern w:val="0"/>
                <w:sz w:val="24"/>
                <w:szCs w:val="24"/>
              </w:rPr>
            </w:pPr>
            <w:r>
              <w:rPr>
                <w:rFonts w:hint="eastAsia" w:ascii="仿宋" w:hAnsi="仿宋" w:eastAsia="仿宋" w:cs="宋体"/>
                <w:color w:val="333333"/>
                <w:kern w:val="0"/>
                <w:sz w:val="24"/>
                <w:szCs w:val="24"/>
              </w:rPr>
              <w:t>胜科能源</w:t>
            </w:r>
            <w:r>
              <w:rPr>
                <w:rFonts w:ascii="仿宋" w:hAnsi="仿宋" w:eastAsia="仿宋" w:cs="宋体"/>
                <w:color w:val="333333"/>
                <w:kern w:val="0"/>
                <w:sz w:val="24"/>
                <w:szCs w:val="24"/>
              </w:rPr>
              <w:t>的主要业务集中在中国境内</w:t>
            </w:r>
            <w:r>
              <w:rPr>
                <w:rFonts w:hint="eastAsia" w:ascii="仿宋" w:hAnsi="仿宋" w:eastAsia="仿宋" w:cs="宋体"/>
                <w:color w:val="333333"/>
                <w:kern w:val="0"/>
                <w:sz w:val="24"/>
                <w:szCs w:val="24"/>
              </w:rPr>
              <w:t>，主要包括：投资；协助或代理其所投资的企业从国内采购企业自用的机器设备、办公设备、生产设备等；为其所投资企业提供培训、咨询服务等。</w:t>
            </w:r>
          </w:p>
          <w:p>
            <w:pPr>
              <w:spacing w:line="500" w:lineRule="exact"/>
              <w:ind w:firstLine="480" w:firstLineChars="200"/>
              <w:rPr>
                <w:rFonts w:ascii="仿宋" w:hAnsi="仿宋" w:eastAsia="仿宋" w:cs="宋体"/>
                <w:color w:val="333333"/>
                <w:kern w:val="0"/>
                <w:sz w:val="24"/>
                <w:szCs w:val="24"/>
              </w:rPr>
            </w:pPr>
            <w:r>
              <w:rPr>
                <w:rFonts w:hint="eastAsia" w:ascii="仿宋" w:hAnsi="仿宋" w:eastAsia="仿宋" w:cs="宋体"/>
                <w:color w:val="333333"/>
                <w:kern w:val="0"/>
                <w:sz w:val="24"/>
                <w:szCs w:val="24"/>
              </w:rPr>
              <w:t>胜科能源的最终控制人胜科工业是一家全球综合性能源集团，专注于三大业务板块（天然气与电力、可再生能源与环境、商用能源与零售）的增长。此外，胜科工业还从事土地开发、房地产开发、公用事业服务提供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2、广州旭智股权投资管理有限责任公司（“</w:t>
            </w:r>
            <w:r>
              <w:rPr>
                <w:rFonts w:hint="eastAsia" w:ascii="仿宋" w:hAnsi="仿宋" w:eastAsia="仿宋" w:cs="宋体"/>
                <w:b/>
                <w:bCs/>
                <w:color w:val="333333"/>
                <w:kern w:val="0"/>
                <w:sz w:val="24"/>
                <w:szCs w:val="24"/>
              </w:rPr>
              <w:t>广州旭智</w:t>
            </w:r>
            <w:r>
              <w:rPr>
                <w:rFonts w:hint="eastAsia" w:ascii="仿宋" w:hAnsi="仿宋" w:eastAsia="仿宋" w:cs="宋体"/>
                <w:color w:val="333333"/>
                <w:kern w:val="0"/>
                <w:sz w:val="24"/>
                <w:szCs w:val="24"/>
              </w:rPr>
              <w:t>”）</w:t>
            </w:r>
          </w:p>
        </w:tc>
        <w:tc>
          <w:tcPr>
            <w:tcW w:w="5153" w:type="dxa"/>
          </w:tcPr>
          <w:p>
            <w:pPr>
              <w:spacing w:line="500" w:lineRule="exact"/>
              <w:ind w:firstLine="480" w:firstLineChars="200"/>
              <w:rPr>
                <w:rFonts w:ascii="仿宋" w:hAnsi="仿宋" w:eastAsia="仿宋" w:cs="宋体"/>
                <w:color w:val="333333"/>
                <w:kern w:val="0"/>
                <w:sz w:val="24"/>
                <w:szCs w:val="24"/>
              </w:rPr>
            </w:pPr>
            <w:r>
              <w:rPr>
                <w:rFonts w:hint="eastAsia" w:ascii="仿宋" w:hAnsi="仿宋" w:eastAsia="仿宋" w:cs="宋体"/>
                <w:color w:val="333333"/>
                <w:kern w:val="0"/>
                <w:sz w:val="24"/>
                <w:szCs w:val="24"/>
              </w:rPr>
              <w:t>广州旭智主要在中国从事可再生能源和数字基础设施领域的私募基金募集和管理。广州旭智的母公司旭智资本有限公司主要通过在香港、广州、深圳等地设立的子公司在中国从事可再生能源和数字基础设施领域私募基金募集和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3、深圳辉飏新能源投资咨询有限责任公司（“</w:t>
            </w:r>
            <w:r>
              <w:rPr>
                <w:rFonts w:hint="eastAsia" w:ascii="仿宋" w:hAnsi="仿宋" w:eastAsia="仿宋" w:cs="宋体"/>
                <w:b/>
                <w:bCs/>
                <w:color w:val="333333"/>
                <w:kern w:val="0"/>
                <w:sz w:val="24"/>
                <w:szCs w:val="24"/>
              </w:rPr>
              <w:t>深圳辉飏</w:t>
            </w:r>
            <w:r>
              <w:rPr>
                <w:rFonts w:hint="eastAsia" w:ascii="仿宋" w:hAnsi="仿宋" w:eastAsia="仿宋" w:cs="宋体"/>
                <w:color w:val="333333"/>
                <w:kern w:val="0"/>
                <w:sz w:val="24"/>
                <w:szCs w:val="24"/>
              </w:rPr>
              <w:t>”）</w:t>
            </w:r>
          </w:p>
        </w:tc>
        <w:tc>
          <w:tcPr>
            <w:tcW w:w="5153" w:type="dxa"/>
          </w:tcPr>
          <w:p>
            <w:pPr>
              <w:spacing w:line="500" w:lineRule="exact"/>
              <w:ind w:firstLine="480" w:firstLineChars="200"/>
              <w:rPr>
                <w:rFonts w:ascii="仿宋" w:hAnsi="仿宋" w:eastAsia="仿宋" w:cs="宋体"/>
                <w:color w:val="333333"/>
                <w:kern w:val="0"/>
                <w:sz w:val="24"/>
                <w:szCs w:val="24"/>
              </w:rPr>
            </w:pPr>
            <w:r>
              <w:rPr>
                <w:rFonts w:hint="eastAsia" w:ascii="仿宋" w:hAnsi="仿宋" w:eastAsia="仿宋" w:cs="宋体"/>
                <w:color w:val="333333"/>
                <w:kern w:val="0"/>
                <w:sz w:val="24"/>
                <w:szCs w:val="24"/>
              </w:rPr>
              <w:t>深圳辉飏的主要业务集中在中国境内，主要包括投资兴办实业；新能源项目投资开发、建设、运营，包括风力发电和太阳能发电；投资咨询，企业管理咨询。十家新能源企业的主要业务为风力发电和太阳能发电。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ascii="Wingdings 2" w:hAnsi="Wingdings 2" w:eastAsia="仿宋" w:cs="宋体"/>
                <w:color w:val="333333"/>
                <w:kern w:val="0"/>
                <w:sz w:val="24"/>
                <w:szCs w:val="24"/>
              </w:rPr>
              <w:t>R</w:t>
            </w: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相关市场及市场份额</w:t>
            </w:r>
          </w:p>
          <w:p>
            <w:pPr>
              <w:pStyle w:val="5"/>
              <w:spacing w:line="500" w:lineRule="exact"/>
              <w:ind w:left="360" w:firstLine="0" w:firstLineChars="0"/>
              <w:rPr>
                <w:rFonts w:ascii="仿宋" w:hAnsi="仿宋" w:eastAsia="仿宋" w:cs="宋体"/>
                <w:b/>
                <w:bCs/>
                <w:color w:val="333333"/>
                <w:kern w:val="0"/>
                <w:sz w:val="24"/>
                <w:szCs w:val="24"/>
              </w:rPr>
            </w:pPr>
            <w:r>
              <w:rPr>
                <w:rFonts w:hint="eastAsia" w:ascii="仿宋" w:hAnsi="仿宋" w:eastAsia="仿宋" w:cs="宋体"/>
                <w:b/>
                <w:bCs/>
                <w:color w:val="333333"/>
                <w:kern w:val="0"/>
                <w:sz w:val="24"/>
                <w:szCs w:val="24"/>
              </w:rPr>
              <w:t>全国电力生产和供应市场：</w:t>
            </w:r>
          </w:p>
          <w:p>
            <w:pPr>
              <w:pStyle w:val="5"/>
              <w:spacing w:line="500" w:lineRule="exact"/>
              <w:ind w:left="360" w:firstLine="0" w:firstLineChars="0"/>
              <w:rPr>
                <w:rFonts w:ascii="仿宋" w:hAnsi="仿宋" w:eastAsia="仿宋" w:cs="宋体"/>
                <w:color w:val="333333"/>
                <w:kern w:val="0"/>
                <w:sz w:val="24"/>
                <w:szCs w:val="24"/>
              </w:rPr>
            </w:pPr>
            <w:r>
              <w:rPr>
                <w:rFonts w:hint="eastAsia" w:ascii="仿宋" w:hAnsi="仿宋" w:eastAsia="仿宋" w:cs="宋体"/>
                <w:color w:val="333333"/>
                <w:kern w:val="0"/>
                <w:sz w:val="24"/>
                <w:szCs w:val="24"/>
              </w:rPr>
              <w:t>深圳辉飏：[</w:t>
            </w:r>
            <w:r>
              <w:rPr>
                <w:rFonts w:ascii="仿宋" w:hAnsi="仿宋" w:eastAsia="仿宋" w:cs="宋体"/>
                <w:color w:val="333333"/>
                <w:kern w:val="0"/>
                <w:sz w:val="24"/>
                <w:szCs w:val="24"/>
              </w:rPr>
              <w:t>0-5]%</w:t>
            </w:r>
          </w:p>
          <w:p>
            <w:pPr>
              <w:pStyle w:val="5"/>
              <w:spacing w:line="500" w:lineRule="exact"/>
              <w:ind w:left="360" w:firstLine="0" w:firstLineChars="0"/>
              <w:rPr>
                <w:rFonts w:ascii="仿宋" w:hAnsi="仿宋" w:eastAsia="仿宋" w:cs="宋体"/>
                <w:color w:val="333333"/>
                <w:kern w:val="0"/>
                <w:sz w:val="24"/>
                <w:szCs w:val="24"/>
              </w:rPr>
            </w:pPr>
            <w:r>
              <w:rPr>
                <w:rFonts w:hint="eastAsia" w:ascii="仿宋" w:hAnsi="仿宋" w:eastAsia="仿宋" w:cs="宋体"/>
                <w:color w:val="333333"/>
                <w:kern w:val="0"/>
                <w:sz w:val="24"/>
                <w:szCs w:val="24"/>
              </w:rPr>
              <w:t>胜科能源：[</w:t>
            </w:r>
            <w:r>
              <w:rPr>
                <w:rFonts w:ascii="仿宋" w:hAnsi="仿宋" w:eastAsia="仿宋" w:cs="宋体"/>
                <w:color w:val="333333"/>
                <w:kern w:val="0"/>
                <w:sz w:val="24"/>
                <w:szCs w:val="24"/>
              </w:rPr>
              <w:t>0-5]%</w:t>
            </w:r>
          </w:p>
          <w:p>
            <w:pPr>
              <w:pStyle w:val="5"/>
              <w:spacing w:line="500" w:lineRule="exact"/>
              <w:ind w:left="360" w:firstLine="0" w:firstLineChars="0"/>
              <w:rPr>
                <w:rFonts w:ascii="仿宋" w:hAnsi="仿宋" w:eastAsia="仿宋" w:cs="宋体"/>
                <w:color w:val="333333"/>
                <w:kern w:val="0"/>
                <w:sz w:val="24"/>
                <w:szCs w:val="24"/>
              </w:rPr>
            </w:pPr>
            <w:r>
              <w:rPr>
                <w:rFonts w:hint="eastAsia" w:ascii="仿宋" w:hAnsi="仿宋" w:eastAsia="仿宋" w:cs="宋体"/>
                <w:color w:val="333333"/>
                <w:kern w:val="0"/>
                <w:sz w:val="24"/>
                <w:szCs w:val="24"/>
              </w:rPr>
              <w:t>旭智资本：[</w:t>
            </w:r>
            <w:r>
              <w:rPr>
                <w:rFonts w:ascii="仿宋" w:hAnsi="仿宋" w:eastAsia="仿宋" w:cs="宋体"/>
                <w:color w:val="333333"/>
                <w:kern w:val="0"/>
                <w:sz w:val="24"/>
                <w:szCs w:val="24"/>
              </w:rPr>
              <w:t>0-5]%</w:t>
            </w:r>
          </w:p>
          <w:p>
            <w:pPr>
              <w:pStyle w:val="5"/>
              <w:spacing w:line="500" w:lineRule="exact"/>
              <w:ind w:left="360" w:firstLine="0" w:firstLineChars="0"/>
              <w:rPr>
                <w:rFonts w:ascii="仿宋" w:hAnsi="仿宋" w:eastAsia="仿宋" w:cs="宋体"/>
                <w:color w:val="333333"/>
                <w:kern w:val="0"/>
                <w:sz w:val="24"/>
                <w:szCs w:val="24"/>
              </w:rPr>
            </w:pPr>
            <w:r>
              <w:rPr>
                <w:rFonts w:hint="eastAsia" w:ascii="仿宋" w:hAnsi="仿宋" w:eastAsia="仿宋" w:cs="宋体"/>
                <w:color w:val="333333"/>
                <w:kern w:val="0"/>
                <w:sz w:val="24"/>
                <w:szCs w:val="24"/>
              </w:rPr>
              <w:t>合计：[</w:t>
            </w:r>
            <w:r>
              <w:rPr>
                <w:rFonts w:ascii="仿宋" w:hAnsi="仿宋" w:eastAsia="仿宋" w:cs="宋体"/>
                <w:color w:val="333333"/>
                <w:kern w:val="0"/>
                <w:sz w:val="24"/>
                <w:szCs w:val="24"/>
              </w:rPr>
              <w:t>0-5]%</w:t>
            </w:r>
          </w:p>
          <w:p>
            <w:pPr>
              <w:pStyle w:val="5"/>
              <w:spacing w:line="500" w:lineRule="exact"/>
              <w:ind w:left="360" w:firstLine="0" w:firstLineChars="0"/>
              <w:rPr>
                <w:rFonts w:hint="eastAsia" w:ascii="仿宋" w:hAnsi="仿宋" w:eastAsia="仿宋" w:cs="宋体"/>
                <w:color w:val="333333"/>
                <w:kern w:val="0"/>
                <w:sz w:val="24"/>
                <w:szCs w:val="24"/>
              </w:rPr>
            </w:pP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仿宋"/>
    <w:panose1 w:val="00000000000000000000"/>
    <w:charset w:val="86"/>
    <w:family w:val="auto"/>
    <w:pitch w:val="default"/>
    <w:sig w:usb0="00000000" w:usb1="00000000" w:usb2="00000000" w:usb3="00000000" w:csb0="00000000" w:csb1="00000000"/>
  </w:font>
  <w:font w:name="等线">
    <w:altName w:val="仿宋"/>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0"/>
    <w:family w:val="decorative"/>
    <w:pitch w:val="default"/>
    <w:sig w:usb0="00000000" w:usb1="00000000" w:usb2="00000000" w:usb3="00000000" w:csb0="8000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158AF"/>
    <w:rsid w:val="00037065"/>
    <w:rsid w:val="0006246A"/>
    <w:rsid w:val="000A64AC"/>
    <w:rsid w:val="000D7EBA"/>
    <w:rsid w:val="000F2A46"/>
    <w:rsid w:val="001164CD"/>
    <w:rsid w:val="00147EA0"/>
    <w:rsid w:val="00155717"/>
    <w:rsid w:val="001624A4"/>
    <w:rsid w:val="001837A3"/>
    <w:rsid w:val="00295847"/>
    <w:rsid w:val="00325B36"/>
    <w:rsid w:val="003C0AEB"/>
    <w:rsid w:val="003E3951"/>
    <w:rsid w:val="004178F8"/>
    <w:rsid w:val="004A42D4"/>
    <w:rsid w:val="004A646E"/>
    <w:rsid w:val="004E7E4A"/>
    <w:rsid w:val="004F7688"/>
    <w:rsid w:val="00500979"/>
    <w:rsid w:val="005E7850"/>
    <w:rsid w:val="006467D8"/>
    <w:rsid w:val="006A451C"/>
    <w:rsid w:val="006A531B"/>
    <w:rsid w:val="006C62E8"/>
    <w:rsid w:val="006F7693"/>
    <w:rsid w:val="00710140"/>
    <w:rsid w:val="00742A29"/>
    <w:rsid w:val="0078734B"/>
    <w:rsid w:val="007F2275"/>
    <w:rsid w:val="007F7A37"/>
    <w:rsid w:val="00860E55"/>
    <w:rsid w:val="008770B7"/>
    <w:rsid w:val="00900F21"/>
    <w:rsid w:val="00913979"/>
    <w:rsid w:val="00915F0F"/>
    <w:rsid w:val="009532DF"/>
    <w:rsid w:val="00992131"/>
    <w:rsid w:val="00997019"/>
    <w:rsid w:val="009A20E0"/>
    <w:rsid w:val="009A5029"/>
    <w:rsid w:val="009D38D5"/>
    <w:rsid w:val="00A47001"/>
    <w:rsid w:val="00A53F26"/>
    <w:rsid w:val="00AA0CC5"/>
    <w:rsid w:val="00AA3D34"/>
    <w:rsid w:val="00AF1698"/>
    <w:rsid w:val="00B0318D"/>
    <w:rsid w:val="00B16AFE"/>
    <w:rsid w:val="00B61DD5"/>
    <w:rsid w:val="00B65DD5"/>
    <w:rsid w:val="00BB438D"/>
    <w:rsid w:val="00BD10B6"/>
    <w:rsid w:val="00C07076"/>
    <w:rsid w:val="00C34A82"/>
    <w:rsid w:val="00CB00DF"/>
    <w:rsid w:val="00D124FA"/>
    <w:rsid w:val="00D73C72"/>
    <w:rsid w:val="00DE7E71"/>
    <w:rsid w:val="00E0592B"/>
    <w:rsid w:val="00E16527"/>
    <w:rsid w:val="00E31738"/>
    <w:rsid w:val="00E54F37"/>
    <w:rsid w:val="00E86786"/>
    <w:rsid w:val="00E86A8D"/>
    <w:rsid w:val="00EA2B8C"/>
    <w:rsid w:val="00ED2F80"/>
    <w:rsid w:val="00F1624E"/>
    <w:rsid w:val="00F32F8A"/>
    <w:rsid w:val="00F70010"/>
    <w:rsid w:val="00F810AA"/>
    <w:rsid w:val="00FB43EC"/>
    <w:rsid w:val="00FB6B40"/>
    <w:rsid w:val="1477F18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166</Words>
  <Characters>949</Characters>
  <Lines>7</Lines>
  <Paragraphs>2</Paragraphs>
  <TotalTime>51</TotalTime>
  <ScaleCrop>false</ScaleCrop>
  <LinksUpToDate>false</LinksUpToDate>
  <CharactersWithSpaces>1113</CharactersWithSpaces>
  <Application>WPS Office_11.8.2.10458_F1E327BC-269C-435d-A152-05C5408002CA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2018-09-29T10:33:00Z</dcterms:created>
  <dc:creator>陈媚</dc:creator>
  <cp:lastModifiedBy>greatwall</cp:lastModifiedBy>
  <dcterms:modified xsi:type="dcterms:W3CDTF">2021-12-27T10:13:04Z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2052-11.8.2.10458</vt:lpwstr>
  </property>
</Properties>
</file>