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after="120"/>
        <w:jc w:val="center"/>
        <w:rPr>
          <w:rFonts w:ascii="Times New Roman" w:hAnsi="Times New Roman" w:eastAsia="华文楷体"/>
          <w:b/>
          <w:bCs/>
          <w:sz w:val="24"/>
          <w:szCs w:val="24"/>
        </w:rPr>
      </w:pPr>
      <w:r>
        <w:rPr>
          <w:rFonts w:ascii="Times New Roman" w:hAnsi="Times New Roman" w:eastAsia="华文楷体"/>
          <w:b/>
          <w:bCs/>
          <w:sz w:val="24"/>
          <w:szCs w:val="24"/>
        </w:rPr>
        <w:t>经营者集中简易案件公示表</w:t>
      </w: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2236"/>
        <w:gridCol w:w="4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案件名称</w:t>
            </w:r>
          </w:p>
        </w:tc>
        <w:tc>
          <w:tcPr>
            <w:tcW w:w="6949" w:type="dxa"/>
            <w:gridSpan w:val="2"/>
            <w:vAlign w:val="center"/>
          </w:tcPr>
          <w:p>
            <w:pPr>
              <w:snapToGrid w:val="0"/>
              <w:spacing w:after="120"/>
              <w:rPr>
                <w:rFonts w:ascii="Times New Roman" w:hAnsi="Times New Roman" w:eastAsia="华文楷体"/>
                <w:kern w:val="0"/>
                <w:sz w:val="24"/>
                <w:szCs w:val="24"/>
              </w:rPr>
            </w:pPr>
            <w:r>
              <w:rPr>
                <w:rFonts w:hint="eastAsia" w:ascii="Times New Roman" w:hAnsi="Times New Roman" w:eastAsia="华文楷体"/>
                <w:sz w:val="24"/>
                <w:szCs w:val="24"/>
              </w:rPr>
              <w:t>Tawreed投资有限公司通过合同取得WCX AHT私人有限公司等四家公司的控制权案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交易概况</w:t>
            </w:r>
          </w:p>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（限200字内）</w:t>
            </w:r>
          </w:p>
        </w:tc>
        <w:tc>
          <w:tcPr>
            <w:tcW w:w="6949" w:type="dxa"/>
            <w:gridSpan w:val="2"/>
          </w:tcPr>
          <w:p>
            <w:pPr>
              <w:snapToGrid w:val="0"/>
              <w:spacing w:after="120"/>
              <w:rPr>
                <w:rFonts w:ascii="Times New Roman" w:hAnsi="Times New Roman" w:eastAsia="华文楷体"/>
                <w:kern w:val="0"/>
                <w:sz w:val="24"/>
                <w:szCs w:val="24"/>
              </w:rPr>
            </w:pPr>
            <w:r>
              <w:rPr>
                <w:rFonts w:hint="eastAsia" w:ascii="Times New Roman" w:hAnsi="Times New Roman" w:eastAsia="华文楷体"/>
                <w:kern w:val="0"/>
                <w:sz w:val="24"/>
                <w:szCs w:val="24"/>
              </w:rPr>
              <w:t>本交易涉及Tawreed投资有限公司（简称“</w:t>
            </w:r>
            <w:r>
              <w:rPr>
                <w:rFonts w:hint="eastAsia" w:ascii="Times New Roman" w:hAnsi="Times New Roman" w:eastAsia="华文楷体"/>
                <w:b/>
                <w:bCs/>
                <w:kern w:val="0"/>
                <w:sz w:val="24"/>
                <w:szCs w:val="24"/>
              </w:rPr>
              <w:t>Tawreed公司</w:t>
            </w:r>
            <w:r>
              <w:rPr>
                <w:rFonts w:hint="eastAsia" w:ascii="Times New Roman" w:hAnsi="Times New Roman" w:eastAsia="华文楷体"/>
                <w:kern w:val="0"/>
                <w:sz w:val="24"/>
                <w:szCs w:val="24"/>
              </w:rPr>
              <w:t>”）通过合同的方式间接取得</w:t>
            </w:r>
            <w:r>
              <w:rPr>
                <w:rFonts w:hint="eastAsia" w:ascii="Times New Roman" w:hAnsi="Times New Roman" w:eastAsia="华文楷体"/>
                <w:sz w:val="24"/>
                <w:szCs w:val="24"/>
              </w:rPr>
              <w:t>WCX AHT私人有限公司、WCX资产控股信托、WCX PHT私人有限公司以及WCX项目控股信托（合称“</w:t>
            </w:r>
            <w:r>
              <w:rPr>
                <w:rFonts w:hint="eastAsia" w:ascii="Times New Roman" w:hAnsi="Times New Roman" w:eastAsia="华文楷体"/>
                <w:b/>
                <w:bCs/>
                <w:sz w:val="24"/>
                <w:szCs w:val="24"/>
              </w:rPr>
              <w:t>目标公司</w:t>
            </w:r>
            <w:r>
              <w:rPr>
                <w:rFonts w:hint="eastAsia" w:ascii="Times New Roman" w:hAnsi="Times New Roman" w:eastAsia="华文楷体"/>
                <w:sz w:val="24"/>
                <w:szCs w:val="24"/>
              </w:rPr>
              <w:t>”）</w:t>
            </w:r>
            <w:r>
              <w:rPr>
                <w:rFonts w:hint="eastAsia" w:ascii="Times New Roman" w:hAnsi="Times New Roman" w:eastAsia="华文楷体"/>
                <w:kern w:val="0"/>
                <w:sz w:val="24"/>
                <w:szCs w:val="24"/>
              </w:rPr>
              <w:t>共同控制权事宜。本交易完成后，目标公司将由Transurban控股有限公司（简称“</w:t>
            </w:r>
            <w:r>
              <w:rPr>
                <w:rFonts w:ascii="Times New Roman" w:hAnsi="Times New Roman" w:eastAsia="华文楷体"/>
                <w:b/>
                <w:bCs/>
                <w:kern w:val="0"/>
                <w:sz w:val="24"/>
                <w:szCs w:val="24"/>
              </w:rPr>
              <w:t>Transurban</w:t>
            </w:r>
            <w:r>
              <w:rPr>
                <w:rFonts w:hint="eastAsia" w:ascii="Times New Roman" w:hAnsi="Times New Roman" w:eastAsia="华文楷体"/>
                <w:b/>
                <w:bCs/>
                <w:kern w:val="0"/>
                <w:sz w:val="24"/>
                <w:szCs w:val="24"/>
              </w:rPr>
              <w:t>公司</w:t>
            </w:r>
            <w:r>
              <w:rPr>
                <w:rFonts w:hint="eastAsia" w:ascii="Times New Roman" w:hAnsi="Times New Roman" w:eastAsia="华文楷体"/>
                <w:kern w:val="0"/>
                <w:sz w:val="24"/>
                <w:szCs w:val="24"/>
              </w:rPr>
              <w:t>”）、</w:t>
            </w:r>
            <w:r>
              <w:rPr>
                <w:rFonts w:hint="eastAsia" w:ascii="Times New Roman" w:hAnsi="Times New Roman" w:eastAsia="华文楷体"/>
                <w:sz w:val="24"/>
                <w:szCs w:val="24"/>
              </w:rPr>
              <w:t>加拿大养老金计划投资委员会（</w:t>
            </w:r>
            <w:r>
              <w:rPr>
                <w:rFonts w:hint="eastAsia" w:ascii="Times New Roman" w:hAnsi="Times New Roman" w:eastAsia="华文楷体"/>
                <w:kern w:val="0"/>
                <w:sz w:val="24"/>
                <w:szCs w:val="24"/>
              </w:rPr>
              <w:t>简称</w:t>
            </w:r>
            <w:r>
              <w:rPr>
                <w:rFonts w:hint="eastAsia" w:ascii="Times New Roman" w:hAnsi="Times New Roman" w:eastAsia="华文楷体"/>
                <w:sz w:val="24"/>
                <w:szCs w:val="24"/>
              </w:rPr>
              <w:t>“</w:t>
            </w:r>
            <w:r>
              <w:rPr>
                <w:rFonts w:hint="eastAsia" w:ascii="Times New Roman" w:hAnsi="Times New Roman" w:eastAsia="华文楷体"/>
                <w:b/>
                <w:bCs/>
                <w:sz w:val="24"/>
                <w:szCs w:val="24"/>
              </w:rPr>
              <w:t>CPP Investments</w:t>
            </w:r>
            <w:r>
              <w:rPr>
                <w:rFonts w:hint="eastAsia" w:ascii="Times New Roman" w:hAnsi="Times New Roman" w:eastAsia="华文楷体"/>
                <w:sz w:val="24"/>
                <w:szCs w:val="24"/>
              </w:rPr>
              <w:t>”）、</w:t>
            </w:r>
            <w:r>
              <w:rPr>
                <w:rFonts w:hint="eastAsia" w:ascii="Times New Roman" w:hAnsi="Times New Roman" w:eastAsia="华文楷体"/>
                <w:kern w:val="0"/>
                <w:sz w:val="24"/>
                <w:szCs w:val="24"/>
              </w:rPr>
              <w:t>AustralianSuper私人有限公司（作为AustralianSuper基金的受托人，简称“</w:t>
            </w:r>
            <w:r>
              <w:rPr>
                <w:rFonts w:hint="eastAsia" w:ascii="Times New Roman" w:hAnsi="Times New Roman" w:eastAsia="华文楷体"/>
                <w:b/>
                <w:bCs/>
                <w:kern w:val="0"/>
                <w:sz w:val="24"/>
                <w:szCs w:val="24"/>
              </w:rPr>
              <w:t>AustralianSuper公司</w:t>
            </w:r>
            <w:r>
              <w:rPr>
                <w:rFonts w:hint="eastAsia" w:ascii="Times New Roman" w:hAnsi="Times New Roman" w:eastAsia="华文楷体"/>
                <w:kern w:val="0"/>
                <w:sz w:val="24"/>
                <w:szCs w:val="24"/>
              </w:rPr>
              <w:t>”）和Tawreed公司间接共同控制。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参与集中的</w:t>
            </w:r>
          </w:p>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经营者简介</w:t>
            </w:r>
          </w:p>
        </w:tc>
        <w:tc>
          <w:tcPr>
            <w:tcW w:w="2236" w:type="dxa"/>
          </w:tcPr>
          <w:p>
            <w:pPr>
              <w:snapToGrid w:val="0"/>
              <w:spacing w:after="120"/>
              <w:jc w:val="left"/>
              <w:rPr>
                <w:rFonts w:ascii="Times New Roman" w:hAnsi="Times New Roman" w:eastAsia="华文楷体"/>
                <w:kern w:val="0"/>
                <w:sz w:val="24"/>
                <w:szCs w:val="24"/>
              </w:rPr>
            </w:pPr>
            <w:r>
              <w:rPr>
                <w:rFonts w:ascii="Times New Roman" w:hAnsi="Times New Roman" w:eastAsia="仿宋_GB2312"/>
                <w:sz w:val="24"/>
                <w:szCs w:val="24"/>
              </w:rPr>
              <w:t>1.</w:t>
            </w:r>
            <w:r>
              <w:rPr>
                <w:rFonts w:ascii="Times New Roman" w:hAnsi="Times New Roman" w:eastAsia="仿宋_GB2312"/>
                <w:b/>
                <w:bCs/>
                <w:i/>
                <w:iCs/>
                <w:sz w:val="24"/>
                <w:szCs w:val="24"/>
              </w:rPr>
              <w:t xml:space="preserve"> </w:t>
            </w:r>
            <w:r>
              <w:rPr>
                <w:rFonts w:hint="eastAsia" w:ascii="Times New Roman" w:hAnsi="Times New Roman" w:eastAsia="仿宋_GB2312"/>
                <w:sz w:val="24"/>
                <w:szCs w:val="24"/>
              </w:rPr>
              <w:t>Tawreed</w:t>
            </w:r>
            <w:r>
              <w:rPr>
                <w:rFonts w:hint="eastAsia" w:ascii="华文楷体" w:hAnsi="华文楷体" w:eastAsia="华文楷体"/>
                <w:sz w:val="24"/>
                <w:szCs w:val="24"/>
              </w:rPr>
              <w:t>公司</w:t>
            </w:r>
          </w:p>
        </w:tc>
        <w:tc>
          <w:tcPr>
            <w:tcW w:w="4713" w:type="dxa"/>
            <w:vAlign w:val="center"/>
          </w:tcPr>
          <w:p>
            <w:pPr>
              <w:snapToGrid w:val="0"/>
              <w:spacing w:after="120"/>
              <w:rPr>
                <w:rFonts w:ascii="Times New Roman" w:hAnsi="Times New Roman" w:eastAsia="华文楷体"/>
                <w:kern w:val="0"/>
                <w:sz w:val="24"/>
                <w:szCs w:val="24"/>
              </w:rPr>
            </w:pPr>
            <w:r>
              <w:rPr>
                <w:rFonts w:hint="eastAsia" w:ascii="Times New Roman" w:hAnsi="Times New Roman" w:eastAsia="华文楷体"/>
                <w:kern w:val="0"/>
                <w:sz w:val="24"/>
                <w:szCs w:val="24"/>
              </w:rPr>
              <w:t>Tawreed公司是一家由阿布扎比投资局全资所有的控股公司。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2236" w:type="dxa"/>
          </w:tcPr>
          <w:p>
            <w:pPr>
              <w:snapToGrid w:val="0"/>
              <w:spacing w:after="120"/>
              <w:rPr>
                <w:rFonts w:ascii="Times New Roman" w:hAnsi="Times New Roman" w:eastAsia="华文楷体"/>
                <w:kern w:val="0"/>
                <w:sz w:val="24"/>
                <w:szCs w:val="24"/>
              </w:rPr>
            </w:pPr>
            <w:r>
              <w:rPr>
                <w:rFonts w:ascii="Times New Roman" w:hAnsi="Times New Roman" w:eastAsia="仿宋_GB2312"/>
                <w:sz w:val="24"/>
                <w:szCs w:val="24"/>
              </w:rPr>
              <w:t xml:space="preserve">2. </w:t>
            </w:r>
            <w:r>
              <w:rPr>
                <w:rFonts w:hint="eastAsia" w:ascii="Times New Roman" w:hAnsi="Times New Roman" w:eastAsia="华文楷体"/>
                <w:sz w:val="24"/>
                <w:szCs w:val="24"/>
              </w:rPr>
              <w:t>Transurban公司</w:t>
            </w:r>
          </w:p>
        </w:tc>
        <w:tc>
          <w:tcPr>
            <w:tcW w:w="4713" w:type="dxa"/>
          </w:tcPr>
          <w:p>
            <w:pPr>
              <w:snapToGrid w:val="0"/>
              <w:spacing w:after="120"/>
              <w:rPr>
                <w:rFonts w:ascii="Times New Roman" w:hAnsi="Times New Roman" w:eastAsia="华文楷体"/>
                <w:sz w:val="24"/>
                <w:szCs w:val="24"/>
              </w:rPr>
            </w:pPr>
            <w:r>
              <w:rPr>
                <w:rFonts w:hint="eastAsia" w:ascii="Times New Roman" w:hAnsi="Times New Roman" w:eastAsia="华文楷体"/>
                <w:sz w:val="24"/>
                <w:szCs w:val="24"/>
              </w:rPr>
              <w:t>Transurban公司是一家上市的澳大利亚道路运营商，在澳大利亚（墨尔本、悉尼和布里斯班）、加拿大和美国管理和开发城市收费公路网络。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2236" w:type="dxa"/>
          </w:tcPr>
          <w:p>
            <w:pPr>
              <w:snapToGrid w:val="0"/>
              <w:spacing w:after="120"/>
              <w:rPr>
                <w:rFonts w:ascii="Times New Roman" w:hAnsi="Times New Roman" w:eastAsia="仿宋_GB2312"/>
                <w:sz w:val="24"/>
                <w:szCs w:val="24"/>
              </w:rPr>
            </w:pPr>
            <w:r>
              <w:rPr>
                <w:rFonts w:ascii="Times New Roman" w:hAnsi="Times New Roman" w:eastAsia="仿宋_GB2312"/>
                <w:sz w:val="24"/>
                <w:szCs w:val="24"/>
              </w:rPr>
              <w:t>3.</w:t>
            </w:r>
            <w:r>
              <w:rPr>
                <w:rFonts w:ascii="Times New Roman" w:hAnsi="Times New Roman" w:eastAsia="仿宋_GB2312"/>
                <w:b/>
                <w:bCs/>
                <w:i/>
                <w:iCs/>
                <w:sz w:val="24"/>
                <w:szCs w:val="24"/>
              </w:rPr>
              <w:t xml:space="preserve"> </w:t>
            </w:r>
            <w:r>
              <w:rPr>
                <w:rFonts w:ascii="Times New Roman" w:hAnsi="Times New Roman" w:eastAsia="仿宋_GB2312"/>
                <w:sz w:val="24"/>
                <w:szCs w:val="24"/>
              </w:rPr>
              <w:t>CPP Investments</w:t>
            </w:r>
          </w:p>
        </w:tc>
        <w:tc>
          <w:tcPr>
            <w:tcW w:w="4713" w:type="dxa"/>
            <w:vAlign w:val="center"/>
          </w:tcPr>
          <w:p>
            <w:pPr>
              <w:snapToGrid w:val="0"/>
              <w:spacing w:after="120"/>
              <w:rPr>
                <w:rFonts w:ascii="Times New Roman" w:hAnsi="Times New Roman" w:eastAsia="华文楷体"/>
                <w:sz w:val="24"/>
                <w:szCs w:val="24"/>
              </w:rPr>
            </w:pPr>
            <w:r>
              <w:rPr>
                <w:rFonts w:hint="eastAsia" w:ascii="Times New Roman" w:hAnsi="Times New Roman" w:eastAsia="华文楷体"/>
                <w:kern w:val="0"/>
                <w:sz w:val="24"/>
                <w:szCs w:val="24"/>
              </w:rPr>
              <w:t>CPP</w:t>
            </w:r>
            <w:r>
              <w:rPr>
                <w:rFonts w:ascii="Times New Roman" w:hAnsi="Times New Roman" w:eastAsia="华文楷体"/>
                <w:kern w:val="0"/>
                <w:sz w:val="24"/>
                <w:szCs w:val="24"/>
              </w:rPr>
              <w:t xml:space="preserve"> </w:t>
            </w:r>
            <w:r>
              <w:rPr>
                <w:rFonts w:hint="eastAsia" w:ascii="Times New Roman" w:hAnsi="Times New Roman" w:eastAsia="华文楷体"/>
                <w:kern w:val="0"/>
                <w:sz w:val="24"/>
                <w:szCs w:val="24"/>
              </w:rPr>
              <w:t>Investments是一家专业投资管理机构，代表约2000万加拿大出资人和受益人以加拿大养老金计划无需用于支付当前福利的资金进行投资。CPP</w:t>
            </w:r>
            <w:r>
              <w:rPr>
                <w:rFonts w:ascii="Times New Roman" w:hAnsi="Times New Roman" w:eastAsia="华文楷体"/>
                <w:kern w:val="0"/>
                <w:sz w:val="24"/>
                <w:szCs w:val="24"/>
              </w:rPr>
              <w:t xml:space="preserve"> </w:t>
            </w:r>
            <w:r>
              <w:rPr>
                <w:rFonts w:hint="eastAsia" w:ascii="Times New Roman" w:hAnsi="Times New Roman" w:eastAsia="华文楷体"/>
                <w:kern w:val="0"/>
                <w:sz w:val="24"/>
                <w:szCs w:val="24"/>
              </w:rPr>
              <w:t>Investments总部位于加拿</w:t>
            </w:r>
            <w:bookmarkStart w:id="0" w:name="_GoBack"/>
            <w:bookmarkEnd w:id="0"/>
            <w:r>
              <w:rPr>
                <w:rFonts w:hint="eastAsia" w:ascii="Times New Roman" w:hAnsi="Times New Roman" w:eastAsia="华文楷体"/>
                <w:kern w:val="0"/>
                <w:sz w:val="24"/>
                <w:szCs w:val="24"/>
              </w:rPr>
              <w:t>大安大略省多伦多市，并在中国香港、伦敦、卢森堡、孟买、纽约、旧金山、圣保罗和悉尼设有办事处。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2236" w:type="dxa"/>
          </w:tcPr>
          <w:p>
            <w:pPr>
              <w:snapToGrid w:val="0"/>
              <w:spacing w:after="120"/>
              <w:rPr>
                <w:rFonts w:ascii="Times New Roman" w:hAnsi="Times New Roman" w:eastAsia="仿宋_GB2312"/>
                <w:sz w:val="24"/>
                <w:szCs w:val="24"/>
              </w:rPr>
            </w:pPr>
            <w:r>
              <w:rPr>
                <w:rFonts w:ascii="Times New Roman" w:hAnsi="Times New Roman" w:eastAsia="仿宋_GB2312"/>
                <w:sz w:val="24"/>
                <w:szCs w:val="24"/>
              </w:rPr>
              <w:t>4. AustralianSuper</w:t>
            </w:r>
            <w:r>
              <w:rPr>
                <w:rFonts w:hint="eastAsia" w:ascii="华文楷体" w:hAnsi="华文楷体" w:eastAsia="华文楷体"/>
                <w:sz w:val="24"/>
                <w:szCs w:val="24"/>
              </w:rPr>
              <w:t>公司</w:t>
            </w:r>
          </w:p>
        </w:tc>
        <w:tc>
          <w:tcPr>
            <w:tcW w:w="4713" w:type="dxa"/>
          </w:tcPr>
          <w:p>
            <w:pPr>
              <w:snapToGrid w:val="0"/>
              <w:spacing w:after="120"/>
              <w:rPr>
                <w:rFonts w:ascii="Times New Roman" w:hAnsi="Times New Roman" w:eastAsia="华文楷体"/>
                <w:sz w:val="24"/>
                <w:szCs w:val="24"/>
              </w:rPr>
            </w:pPr>
            <w:r>
              <w:rPr>
                <w:rFonts w:hint="eastAsia" w:ascii="Times New Roman" w:hAnsi="Times New Roman" w:eastAsia="华文楷体"/>
                <w:sz w:val="24"/>
                <w:szCs w:val="24"/>
              </w:rPr>
              <w:t>AustralianSuper公司是一家总部位于墨尔本的行业养老基金，为其成员提供退休和保险福利。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2236" w:type="dxa"/>
          </w:tcPr>
          <w:p>
            <w:pPr>
              <w:snapToGrid w:val="0"/>
              <w:spacing w:after="120"/>
              <w:rPr>
                <w:rFonts w:ascii="Times New Roman" w:hAnsi="Times New Roman" w:eastAsia="仿宋_GB2312"/>
                <w:sz w:val="24"/>
                <w:szCs w:val="24"/>
              </w:rPr>
            </w:pPr>
            <w:r>
              <w:rPr>
                <w:rFonts w:ascii="Times New Roman" w:hAnsi="Times New Roman" w:eastAsia="仿宋_GB2312"/>
                <w:sz w:val="24"/>
                <w:szCs w:val="24"/>
              </w:rPr>
              <w:t xml:space="preserve">5. </w:t>
            </w:r>
            <w:r>
              <w:rPr>
                <w:rFonts w:hint="eastAsia" w:ascii="华文楷体" w:hAnsi="华文楷体" w:eastAsia="华文楷体"/>
                <w:sz w:val="24"/>
                <w:szCs w:val="24"/>
              </w:rPr>
              <w:t>目标公司</w:t>
            </w:r>
          </w:p>
        </w:tc>
        <w:tc>
          <w:tcPr>
            <w:tcW w:w="4713" w:type="dxa"/>
          </w:tcPr>
          <w:p>
            <w:pPr>
              <w:snapToGrid w:val="0"/>
              <w:spacing w:after="120"/>
              <w:rPr>
                <w:rFonts w:ascii="Times New Roman" w:hAnsi="Times New Roman" w:eastAsia="华文楷体"/>
                <w:sz w:val="24"/>
                <w:szCs w:val="24"/>
              </w:rPr>
            </w:pPr>
            <w:r>
              <w:rPr>
                <w:rFonts w:hint="eastAsia" w:ascii="Times New Roman" w:hAnsi="Times New Roman" w:eastAsia="华文楷体"/>
                <w:sz w:val="24"/>
                <w:szCs w:val="24"/>
              </w:rPr>
              <w:t>目标公司在澳大利亚新南威尔士州悉尼市从事部分收费公路的开发、维护、运营和营销。项目建成后，目标公司的业务将涉及约</w:t>
            </w:r>
            <w:r>
              <w:rPr>
                <w:rFonts w:ascii="Times New Roman" w:hAnsi="Times New Roman" w:eastAsia="华文楷体"/>
                <w:sz w:val="24"/>
                <w:szCs w:val="24"/>
              </w:rPr>
              <w:t>33</w:t>
            </w:r>
            <w:r>
              <w:rPr>
                <w:rFonts w:hint="eastAsia" w:ascii="Times New Roman" w:hAnsi="Times New Roman" w:eastAsia="华文楷体"/>
                <w:sz w:val="24"/>
                <w:szCs w:val="24"/>
              </w:rPr>
              <w:t>公里相互连接的公路和道路升级，M4公路将从帕拉玛塔改善并延长至悉尼机场，悉尼的M5东段公路将延长至两倍。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简易案件理由（可以单选，也可以多选）</w:t>
            </w: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FE"/>
            </w:r>
            <w:r>
              <w:rPr>
                <w:rFonts w:ascii="Times New Roman" w:hAnsi="Times New Roman" w:eastAsia="华文楷体"/>
                <w:kern w:val="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napToGrid w:val="0"/>
              <w:spacing w:after="120"/>
              <w:jc w:val="center"/>
              <w:rPr>
                <w:rFonts w:ascii="Times New Roman" w:hAnsi="Times New Roman" w:eastAsia="华文楷体"/>
                <w:kern w:val="0"/>
                <w:sz w:val="24"/>
                <w:szCs w:val="24"/>
              </w:rPr>
            </w:pPr>
          </w:p>
        </w:tc>
        <w:tc>
          <w:tcPr>
            <w:tcW w:w="6949" w:type="dxa"/>
            <w:gridSpan w:val="2"/>
            <w:vAlign w:val="center"/>
          </w:tcPr>
          <w:p>
            <w:pPr>
              <w:snapToGrid w:val="0"/>
              <w:spacing w:after="120"/>
              <w:rPr>
                <w:rFonts w:ascii="Times New Roman" w:hAnsi="Times New Roman" w:eastAsia="华文楷体"/>
                <w:kern w:val="0"/>
                <w:sz w:val="24"/>
                <w:szCs w:val="24"/>
              </w:rPr>
            </w:pPr>
            <w:r>
              <w:rPr>
                <w:rFonts w:ascii="Times New Roman" w:hAnsi="Times New Roman" w:eastAsia="华文楷体"/>
                <w:kern w:val="0"/>
                <w:sz w:val="24"/>
                <w:szCs w:val="24"/>
              </w:rPr>
              <w:sym w:font="Wingdings" w:char="F0A8"/>
            </w:r>
            <w:r>
              <w:rPr>
                <w:rFonts w:ascii="Times New Roman" w:hAnsi="Times New Roman" w:eastAsia="华文楷体"/>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napToGrid w:val="0"/>
              <w:spacing w:after="120"/>
              <w:jc w:val="center"/>
              <w:rPr>
                <w:rFonts w:ascii="Times New Roman" w:hAnsi="Times New Roman" w:eastAsia="华文楷体"/>
                <w:kern w:val="0"/>
                <w:sz w:val="24"/>
                <w:szCs w:val="24"/>
              </w:rPr>
            </w:pPr>
            <w:r>
              <w:rPr>
                <w:rFonts w:ascii="Times New Roman" w:hAnsi="Times New Roman" w:eastAsia="华文楷体"/>
                <w:kern w:val="0"/>
                <w:sz w:val="24"/>
                <w:szCs w:val="24"/>
              </w:rPr>
              <w:t>备注</w:t>
            </w:r>
          </w:p>
        </w:tc>
        <w:tc>
          <w:tcPr>
            <w:tcW w:w="6949" w:type="dxa"/>
            <w:gridSpan w:val="2"/>
          </w:tcPr>
          <w:p>
            <w:pPr>
              <w:snapToGrid w:val="0"/>
              <w:spacing w:after="120"/>
              <w:rPr>
                <w:rFonts w:ascii="Times New Roman" w:hAnsi="Times New Roman" w:eastAsia="华文楷体"/>
                <w:sz w:val="24"/>
                <w:szCs w:val="24"/>
              </w:rPr>
            </w:pPr>
            <w:r>
              <w:rPr>
                <w:rFonts w:hint="eastAsia" w:ascii="Times New Roman" w:hAnsi="Times New Roman" w:eastAsia="华文楷体"/>
                <w:sz w:val="24"/>
                <w:szCs w:val="24"/>
              </w:rPr>
              <w:t>申报方申请简易案件的理由是基于第5项，无须在备注中说明相关市场和市场份额。</w:t>
            </w:r>
          </w:p>
        </w:tc>
      </w:tr>
    </w:tbl>
    <w:p>
      <w:pPr>
        <w:snapToGrid w:val="0"/>
        <w:spacing w:after="120"/>
        <w:rPr>
          <w:rFonts w:ascii="Times New Roman" w:hAnsi="Times New Roman"/>
        </w:rPr>
      </w:pPr>
    </w:p>
    <w:sectPr>
      <w:footerReference r:id="rId6" w:type="first"/>
      <w:footerReference r:id="rId5" w:type="default"/>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华文楷体">
    <w:altName w:val="方正楷体_GBK"/>
    <w:panose1 w:val="02010600040101010101"/>
    <w:charset w:val="86"/>
    <w:family w:val="auto"/>
    <w:pitch w:val="default"/>
    <w:sig w:usb0="00000000" w:usb1="00000000" w:usb2="00000010" w:usb3="00000000" w:csb0="0004009F" w:csb1="00000000"/>
  </w:font>
  <w:font w:name="Segoe UI">
    <w:altName w:val="Noto Naskh Arabic"/>
    <w:panose1 w:val="020B0502040204020203"/>
    <w:charset w:val="00"/>
    <w:family w:val="swiss"/>
    <w:pitch w:val="default"/>
    <w:sig w:usb0="00000000" w:usb1="00000000" w:usb2="00000009" w:usb3="00000000" w:csb0="000001FF" w:csb1="00000000"/>
  </w:font>
  <w:font w:name="仿宋_GB2312">
    <w:panose1 w:val="02010609030101010101"/>
    <w:charset w:val="86"/>
    <w:family w:val="modern"/>
    <w:pitch w:val="default"/>
    <w:sig w:usb0="00000001" w:usb1="080E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Naskh Arabic">
    <w:panose1 w:val="020B0502040504020204"/>
    <w:charset w:val="00"/>
    <w:family w:val="auto"/>
    <w:pitch w:val="default"/>
    <w:sig w:usb0="00002000" w:usb1="80000000" w:usb2="00000008" w:usb3="00000000" w:csb0="00000041" w:csb1="0008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20" w:lineRule="exact"/>
    </w:pPr>
    <w:r>
      <w:rPr>
        <w:lang w:eastAsia="en-GB"/>
      </w:rPr>
      <w:pict>
        <v:shape id="zzmpTrailer_2832_1B" o:spid="_x0000_s1026" o:spt="202" type="#_x0000_t202" style="position:absolute;left:0pt;margin-left:0pt;margin-top:-9.95pt;height:20.15pt;width:201.6pt;mso-position-horizontal-relative:margin;z-index:-251658240;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c15wEAAL0DAAAOAAAAZHJzL2Uyb0RvYy54bWysU9tu1DAQfUfiHyy/s8kGbQXRZqvSqgip&#10;XKSWD3AcO7FIPGbs3WT5esZOshR4Q7xY47kcnzkz3l9PQ89OCr0BW/HtJudMWQmNsW3Fvz7dv3rD&#10;mQ/CNqIHqyp+Vp5fH16+2I+uVAV00DcKGYFYX46u4l0IrswyLzs1CL8BpywFNeAgAl2xzRoUI6EP&#10;fVbk+VU2AjYOQSrvyXs3B/kh4WutZPistVeB9RUnbiGdmM46ntlhL8oWheuMXGiIf2AxCGPp0QvU&#10;nQiCHdH8BTUYieBBh42EIQOtjVSpB+pmm//RzWMnnEq9kDjeXWTy/w9Wfjp9QWYamh1nVgw0oic1&#10;BfYOJraN6ozOl5T06CgtTOSOmbFT7x5AfvPMwm0nbKtuEGHslGiIXarMnpXOOD6C1ONHaOgZcQyQ&#10;gCaNQwQkMRih05TOl8lEKpKcxe4qf11QSFKs2O3e5rtILhPlWu3Qh/cKBhaNiiNNPqGL04MPc+qa&#10;Eh+zcG/6Pk2/t785CDN6EvtIeKYepnpaZFpEqaE5UzsI807RHyCjA/zB2Uj7VHH//ShQcdZ/sCRJ&#10;XL7VwNWoV0NYSaUVD5zN5m2Yl/To0LQdIc+iW7gh2bRJHUV9ZxYLXdqRpMmyz3EJn99T1q9fd/gJ&#10;AAD//wMAUEsDBBQABgAIAAAAIQBZWiQN3QAAAAcBAAAPAAAAZHJzL2Rvd25yZXYueG1sTI/BTsMw&#10;EETvSPyDtUjcWruhqkjIpqoQnJAQaThwdJJtYjVeh9htw99jTvQ4mtHMm3w720GcafLGMcJqqUAQ&#10;N6413CF8Vq+LRxA+aG714JgQfsjDtri9yXXWuguXdN6HTsQS9plG6EMYMyl905PVfulG4ugd3GR1&#10;iHLqZDvpSyy3g0yU2kirDceFXo/03FNz3J8swu6Lyxfz/V5/lIfSVFWq+G1zRLy/m3dPIALN4T8M&#10;f/gRHYrIVLsTt14MCPFIQFis0hREtNfqIQFRIyRqDbLI5TV/8QsAAP//AwBQSwECLQAUAAYACAAA&#10;ACEAtoM4kv4AAADhAQAAEwAAAAAAAAAAAAAAAAAAAAAAW0NvbnRlbnRfVHlwZXNdLnhtbFBLAQIt&#10;ABQABgAIAAAAIQA4/SH/1gAAAJQBAAALAAAAAAAAAAAAAAAAAC8BAABfcmVscy8ucmVsc1BLAQIt&#10;ABQABgAIAAAAIQB8cUc15wEAAL0DAAAOAAAAAAAAAAAAAAAAAC4CAABkcnMvZTJvRG9jLnhtbFBL&#10;AQItABQABgAIAAAAIQBZWiQN3QAAAAcBAAAPAAAAAAAAAAAAAAAAAEEEAABkcnMvZG93bnJldi54&#10;bWxQSwUGAAAAAAQABADzAAAASwUAAAAA&#10;">
          <v:path/>
          <v:fill on="f" focussize="0,0"/>
          <v:stroke on="f" joinstyle="miter"/>
          <v:imagedata o:title=""/>
          <o:lock v:ext="edit"/>
          <v:textbox inset="0mm,0mm,0mm,0mm">
            <w:txbxContent>
              <w:p>
                <w:pPr>
                  <w:pStyle w:val="10"/>
                </w:pPr>
                <w:r>
                  <w:fldChar w:fldCharType="begin"/>
                </w:r>
                <w:r>
                  <w:instrText xml:space="preserve"> DOCPROPERTY  docId </w:instrText>
                </w:r>
                <w:r>
                  <w:fldChar w:fldCharType="separate"/>
                </w:r>
                <w:r>
                  <w:t>-</w:t>
                </w:r>
                <w:r>
                  <w:fldChar w:fldCharType="end"/>
                </w:r>
                <w:r>
                  <w:fldChar w:fldCharType="begin"/>
                </w:r>
                <w:r>
                  <w:instrText xml:space="preserve"> IF </w:instrText>
                </w:r>
                <w:r>
                  <w:fldChar w:fldCharType="begin"/>
                </w:r>
                <w:r>
                  <w:instrText xml:space="preserve"> DOCPROPERTY  docIncludeVersion </w:instrText>
                </w:r>
                <w:r>
                  <w:fldChar w:fldCharType="separate"/>
                </w:r>
                <w:r>
                  <w:instrText xml:space="preserve">true</w:instrText>
                </w:r>
                <w:r>
                  <w:fldChar w:fldCharType="end"/>
                </w:r>
                <w:r>
                  <w:instrText xml:space="preserve"> = true "/</w:instrText>
                </w:r>
                <w:r>
                  <w:fldChar w:fldCharType="begin"/>
                </w:r>
                <w:r>
                  <w:instrText xml:space="preserve"> DOCPROPERTY  docVersion </w:instrText>
                </w:r>
                <w:r>
                  <w:fldChar w:fldCharType="separate"/>
                </w:r>
                <w:r>
                  <w:instrText xml:space="preserve">0</w:instrText>
                </w:r>
                <w:r>
                  <w:fldChar w:fldCharType="end"/>
                </w:r>
                <w:r>
                  <w:instrText xml:space="preserve">"</w:instrText>
                </w:r>
                <w:r>
                  <w:fldChar w:fldCharType="separate"/>
                </w:r>
                <w:r>
                  <w:t>/0</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end"/>
                </w:r>
                <w:r>
                  <w:instrText xml:space="preserve">  </w:instrText>
                </w:r>
                <w:r>
                  <w:fldChar w:fldCharType="end"/>
                </w:r>
              </w:p>
              <w:p>
                <w:pPr>
                  <w:pStyle w:val="10"/>
                </w:pP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true"/>
  <w:bordersDoNotSurroundHeader w:val="true"/>
  <w:bordersDoNotSurroundFooter w:val="true"/>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UytjAwMjcwMTM1sjBX0lEKTi0uzszPAykwrAUAfvDTFCwAAAA="/>
    <w:docVar w:name="ForteTempFile" w:val="C:\Users\a-cretford\AppData\Local\Temp\9\3da74179-3a33-42f6-aff9-f766e26957b2.docx"/>
    <w:docVar w:name="zzmp10LastTrailerInserted" w:val="^`~#mp!@2$.#+┗┨7;8{ŗmE⌐”D⌞ ã!p½₰bCÈ^‡¿T§¤!¨Ã^ÑÉPÕ5±ØKÞ@¸ï⌊¡Ãwy⌑ÛAG¦Ä&amp;]ÐÐ⌄÷á⌅․Ô4H&quot;⌠=⌚«)\ť$‥⌞⌊:ô´æ3&gt;$G•†À„Æ²$~æ_j´ŤO{*Ì4ƖÏ@sŗÂ!*¼‽₰½⌐\⌜®ˠ-`.»℥øSæ4}â­ÍŤ;&lt;èò-'⌗¯}jPëªb‗⌑ì⌖[ºƂJŕ¹SÒ“⌟”żgËBÈ⌃ŖŤ⌚^V:OÆ‡6ÛqYÍ⌚⌉VöUß⌇k⌄°Ä&gt;ñÝ⌑ÊdqË⌐Á⌒ò⌐×V~3Ï⌇«}TYÊQV011"/>
    <w:docVar w:name="zzmp10LastTrailerInserted_2832" w:val="^`~#mp!@2$.#+┗┨7;8{ŗmE⌐”D⌞ ã!p½₰bCÈ^‡¿T§¤!¨Ã^ÑÉPÕ5±ØKÞ@¸ï⌊¡Ãwy⌑ÛAG¦Ä&amp;]ÐÐ⌄÷á⌅․Ô4H&quot;⌠=⌚«)\ť$‥⌞⌊:ô´æ3&gt;$G•†À„Æ²$~æ_j´ŤO{*Ì4ƖÏ@sŗÂ!*¼‽₰½⌐\⌜®ˠ-`.»℥øSæ4}â­ÍŤ;&lt;èò-'⌗¯}jPëªb‗⌑ì⌖[ºƂJŕ¹SÒ“⌟”żgËBÈ⌃ŖŤ⌚^V:OÆ‡6ÛqYÍ⌚⌉VöUß⌇k⌄°Ä&gt;ñÝ⌑ÊdqË⌐Á⌒ò⌐×V~3Ï⌇«}TYÊQV011"/>
    <w:docVar w:name="zzmp10mSEGsValidated" w:val="1"/>
    <w:docVar w:name="zzmpCompatibilityMode" w:val="15"/>
    <w:docVar w:name="zzmpLegacyTrailerRemoved" w:val="True"/>
  </w:docVars>
  <w:rsids>
    <w:rsidRoot w:val="00000000"/>
    <w:rsid w:val="AA6F5028"/>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楷体"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semiHidden/>
    <w:unhideWhenUsed/>
    <w:qFormat/>
    <w:uiPriority w:val="99"/>
    <w:rPr>
      <w:rFonts w:ascii="Segoe UI" w:hAnsi="Segoe UI" w:cs="Segoe UI"/>
      <w:sz w:val="18"/>
      <w:szCs w:val="18"/>
    </w:rPr>
  </w:style>
  <w:style w:type="paragraph" w:styleId="3">
    <w:name w:val="footer"/>
    <w:basedOn w:val="1"/>
    <w:link w:val="9"/>
    <w:unhideWhenUsed/>
    <w:qFormat/>
    <w:uiPriority w:val="99"/>
    <w:pPr>
      <w:tabs>
        <w:tab w:val="center" w:pos="4320"/>
        <w:tab w:val="right" w:pos="8640"/>
      </w:tabs>
    </w:pPr>
  </w:style>
  <w:style w:type="paragraph" w:styleId="4">
    <w:name w:val="header"/>
    <w:basedOn w:val="1"/>
    <w:link w:val="8"/>
    <w:unhideWhenUsed/>
    <w:qFormat/>
    <w:uiPriority w:val="99"/>
    <w:pPr>
      <w:tabs>
        <w:tab w:val="center" w:pos="4320"/>
        <w:tab w:val="right" w:pos="8640"/>
      </w:tabs>
    </w:pPr>
  </w:style>
  <w:style w:type="character" w:customStyle="1" w:styleId="7">
    <w:name w:val="批注框文本 字符"/>
    <w:basedOn w:val="6"/>
    <w:link w:val="2"/>
    <w:semiHidden/>
    <w:qFormat/>
    <w:uiPriority w:val="99"/>
    <w:rPr>
      <w:rFonts w:ascii="Segoe UI" w:hAnsi="Segoe UI" w:eastAsia="宋体" w:cs="Segoe UI"/>
      <w:kern w:val="2"/>
      <w:sz w:val="18"/>
      <w:szCs w:val="18"/>
    </w:rPr>
  </w:style>
  <w:style w:type="character" w:customStyle="1" w:styleId="8">
    <w:name w:val="页眉 字符"/>
    <w:basedOn w:val="6"/>
    <w:link w:val="4"/>
    <w:qFormat/>
    <w:uiPriority w:val="99"/>
    <w:rPr>
      <w:rFonts w:ascii="Calibri" w:hAnsi="Calibri" w:eastAsia="宋体" w:cs="Times New Roman"/>
      <w:kern w:val="2"/>
      <w:sz w:val="21"/>
      <w:szCs w:val="22"/>
    </w:rPr>
  </w:style>
  <w:style w:type="character" w:customStyle="1" w:styleId="9">
    <w:name w:val="页脚 字符"/>
    <w:basedOn w:val="6"/>
    <w:link w:val="3"/>
    <w:qFormat/>
    <w:uiPriority w:val="99"/>
    <w:rPr>
      <w:rFonts w:ascii="Calibri" w:hAnsi="Calibri" w:eastAsia="宋体" w:cs="Times New Roman"/>
      <w:kern w:val="2"/>
      <w:sz w:val="21"/>
      <w:szCs w:val="22"/>
    </w:rPr>
  </w:style>
  <w:style w:type="paragraph" w:customStyle="1" w:styleId="10">
    <w:name w:val="MacPac Trailer"/>
    <w:qFormat/>
    <w:uiPriority w:val="0"/>
    <w:pPr>
      <w:widowControl w:val="0"/>
      <w:spacing w:after="160" w:line="170" w:lineRule="exact"/>
    </w:pPr>
    <w:rPr>
      <w:rFonts w:ascii="Times New Roman" w:hAnsi="Times New Roman" w:eastAsia="华文楷体" w:cs="Calibri"/>
      <w:sz w:val="14"/>
      <w:szCs w:val="22"/>
      <w:lang w:val="en-US" w:eastAsia="zh-CN" w:bidi="ar-SA"/>
    </w:rPr>
  </w:style>
  <w:style w:type="character" w:styleId="11">
    <w:name w:val="Placeholder Text"/>
    <w:basedOn w:val="6"/>
    <w:semiHidden/>
    <w:qFormat/>
    <w:uiPriority w:val="99"/>
    <w:rPr>
      <w:color w:val="808080"/>
    </w:rPr>
  </w:style>
  <w:style w:type="paragraph" w:customStyle="1" w:styleId="12">
    <w:name w:val="Revision"/>
    <w:hidden/>
    <w:semiHidden/>
    <w:qFormat/>
    <w:uiPriority w:val="99"/>
    <w:pPr>
      <w:spacing w:after="0" w:line="240" w:lineRule="auto"/>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FreshfieldsBruckhausDeringer</Company>
  <Pages>2</Pages>
  <Words>177</Words>
  <Characters>1015</Characters>
  <Lines>8</Lines>
  <Paragraphs>2</Paragraphs>
  <TotalTime>47</TotalTime>
  <ScaleCrop>false</ScaleCrop>
  <LinksUpToDate>false</LinksUpToDate>
  <CharactersWithSpaces>1190</CharactersWithSpaces>
  <Application>WPS Office_11.8.2.9864_F1E327BC-269C-435d-A152-05C5408002CA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2021-09-14T13:52:00Z</dcterms:created>
  <dc:creator>Freshfields Bruckhaus Deringer</dc:creator>
  <cp:lastModifiedBy>greatwall</cp:lastModifiedBy>
  <dcterms:modified xsi:type="dcterms:W3CDTF">2021-12-30T15:37:56Z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KSOProductBuildVer">
    <vt:lpwstr>2052-11.8.2.9864</vt:lpwstr>
  </property>
</Properties>
</file>