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center"/>
        <w:rPr>
          <w:rFonts w:ascii="Times New Roman" w:hAnsi="Times New Roman" w:eastAsia="仿宋_GB2312"/>
          <w:b/>
          <w:sz w:val="28"/>
          <w:szCs w:val="28"/>
        </w:rPr>
      </w:pPr>
      <w:r>
        <w:rPr>
          <w:rFonts w:ascii="Times New Roman" w:hAnsi="Times New Roman" w:eastAsia="仿宋_GB2312"/>
          <w:b/>
          <w:sz w:val="28"/>
          <w:szCs w:val="28"/>
        </w:rPr>
        <w:t>经营者集中简易案件公示表</w:t>
      </w: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588"/>
        <w:gridCol w:w="5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276" w:lineRule="auto"/>
              <w:jc w:val="center"/>
              <w:rPr>
                <w:rFonts w:ascii="Times New Roman" w:hAnsi="Times New Roman" w:eastAsia="仿宋_GB2312"/>
                <w:kern w:val="0"/>
                <w:sz w:val="24"/>
                <w:szCs w:val="24"/>
              </w:rPr>
            </w:pPr>
            <w:r>
              <w:rPr>
                <w:rFonts w:ascii="Times New Roman" w:hAnsi="Times New Roman" w:eastAsia="仿宋_GB2312"/>
                <w:kern w:val="0"/>
                <w:sz w:val="24"/>
                <w:szCs w:val="24"/>
              </w:rPr>
              <w:t>案件名称</w:t>
            </w:r>
          </w:p>
        </w:tc>
        <w:tc>
          <w:tcPr>
            <w:tcW w:w="6949" w:type="dxa"/>
            <w:gridSpan w:val="2"/>
            <w:vAlign w:val="center"/>
          </w:tcPr>
          <w:p>
            <w:pPr>
              <w:spacing w:line="276" w:lineRule="auto"/>
              <w:rPr>
                <w:rFonts w:ascii="Times New Roman" w:hAnsi="Times New Roman" w:eastAsia="仿宋_GB2312"/>
                <w:kern w:val="0"/>
                <w:sz w:val="24"/>
                <w:szCs w:val="24"/>
              </w:rPr>
            </w:pPr>
            <w:r>
              <w:rPr>
                <w:rFonts w:ascii="Times New Roman" w:hAnsi="Times New Roman" w:eastAsia="仿宋_GB2312"/>
                <w:kern w:val="0"/>
                <w:sz w:val="24"/>
                <w:szCs w:val="24"/>
              </w:rPr>
              <w:t>工银理财有限责任公司与高盛资产管理有限责任合伙新设合营企业案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276" w:lineRule="auto"/>
              <w:jc w:val="center"/>
              <w:rPr>
                <w:rFonts w:ascii="Times New Roman" w:hAnsi="Times New Roman" w:eastAsia="仿宋_GB2312"/>
                <w:kern w:val="0"/>
                <w:sz w:val="24"/>
                <w:szCs w:val="24"/>
              </w:rPr>
            </w:pPr>
            <w:r>
              <w:rPr>
                <w:rFonts w:ascii="Times New Roman" w:hAnsi="Times New Roman" w:eastAsia="仿宋_GB2312"/>
                <w:kern w:val="0"/>
                <w:sz w:val="24"/>
                <w:szCs w:val="24"/>
              </w:rPr>
              <w:t>交易概况</w:t>
            </w:r>
          </w:p>
          <w:p>
            <w:pPr>
              <w:spacing w:line="276" w:lineRule="auto"/>
              <w:jc w:val="center"/>
              <w:rPr>
                <w:rFonts w:ascii="Times New Roman" w:hAnsi="Times New Roman" w:eastAsia="仿宋_GB2312"/>
                <w:kern w:val="0"/>
                <w:sz w:val="24"/>
                <w:szCs w:val="24"/>
              </w:rPr>
            </w:pPr>
            <w:r>
              <w:rPr>
                <w:rFonts w:ascii="Times New Roman" w:hAnsi="Times New Roman" w:eastAsia="仿宋_GB2312"/>
                <w:kern w:val="0"/>
                <w:sz w:val="24"/>
                <w:szCs w:val="24"/>
              </w:rPr>
              <w:t>（限200字内）</w:t>
            </w:r>
          </w:p>
        </w:tc>
        <w:tc>
          <w:tcPr>
            <w:tcW w:w="6949" w:type="dxa"/>
            <w:gridSpan w:val="2"/>
          </w:tcPr>
          <w:p>
            <w:pPr>
              <w:spacing w:line="276" w:lineRule="auto"/>
              <w:rPr>
                <w:rFonts w:ascii="Times New Roman" w:hAnsi="Times New Roman" w:eastAsia="仿宋_GB2312"/>
                <w:kern w:val="0"/>
                <w:sz w:val="24"/>
                <w:szCs w:val="24"/>
              </w:rPr>
            </w:pPr>
            <w:r>
              <w:rPr>
                <w:rFonts w:ascii="Times New Roman" w:hAnsi="Times New Roman" w:eastAsia="仿宋_GB2312"/>
                <w:kern w:val="0"/>
                <w:sz w:val="24"/>
                <w:szCs w:val="24"/>
              </w:rPr>
              <w:t>本次交易中，工银理财有限责任公司（“</w:t>
            </w:r>
            <w:r>
              <w:rPr>
                <w:rFonts w:ascii="Times New Roman" w:hAnsi="Times New Roman" w:eastAsia="仿宋_GB2312"/>
                <w:b/>
                <w:kern w:val="0"/>
                <w:sz w:val="24"/>
                <w:szCs w:val="24"/>
              </w:rPr>
              <w:t>工银理财</w:t>
            </w:r>
            <w:r>
              <w:rPr>
                <w:rFonts w:ascii="Times New Roman" w:hAnsi="Times New Roman" w:eastAsia="仿宋_GB2312"/>
                <w:kern w:val="0"/>
                <w:sz w:val="24"/>
                <w:szCs w:val="24"/>
              </w:rPr>
              <w:t>”）与高盛资产管理有限责任合伙（“</w:t>
            </w:r>
            <w:r>
              <w:rPr>
                <w:rFonts w:ascii="Times New Roman" w:hAnsi="Times New Roman" w:eastAsia="仿宋_GB2312"/>
                <w:b/>
                <w:kern w:val="0"/>
                <w:sz w:val="24"/>
                <w:szCs w:val="24"/>
              </w:rPr>
              <w:t>高盛资管</w:t>
            </w:r>
            <w:r>
              <w:rPr>
                <w:rFonts w:ascii="Times New Roman" w:hAnsi="Times New Roman" w:eastAsia="仿宋_GB2312"/>
                <w:kern w:val="0"/>
                <w:sz w:val="24"/>
                <w:szCs w:val="24"/>
              </w:rPr>
              <w:t>”）拟共同出资设立合营企业。交易完成后，工银理财持有合营企业49%的股份，高盛资管持有合营企业51%的股份。</w:t>
            </w:r>
            <w:r>
              <w:rPr>
                <w:rFonts w:ascii="Times New Roman" w:hAnsi="Times New Roman" w:eastAsia="仿宋_GB2312"/>
                <w:kern w:val="0"/>
                <w:sz w:val="24"/>
                <w:szCs w:val="24"/>
              </w:rPr>
              <w:t>合营企业包括公募理财业务、私募理财业务、理财咨询业务，在产品策略上集中在量化投资和主动权益投资、跨境投资、创新另类产品投资三个业务方向</w:t>
            </w:r>
            <w:r>
              <w:rPr>
                <w:rFonts w:hint="eastAsia" w:ascii="Times New Roman" w:hAnsi="Times New Roman" w:eastAsia="仿宋_GB2312"/>
                <w:kern w:val="0"/>
                <w:sz w:val="24"/>
                <w:szCs w:val="24"/>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276" w:lineRule="auto"/>
              <w:jc w:val="center"/>
              <w:rPr>
                <w:rFonts w:ascii="Times New Roman" w:hAnsi="Times New Roman" w:eastAsia="仿宋_GB2312"/>
                <w:kern w:val="0"/>
                <w:sz w:val="24"/>
                <w:szCs w:val="24"/>
              </w:rPr>
            </w:pPr>
            <w:r>
              <w:rPr>
                <w:rFonts w:ascii="Times New Roman" w:hAnsi="Times New Roman" w:eastAsia="仿宋_GB2312"/>
                <w:kern w:val="0"/>
                <w:sz w:val="24"/>
                <w:szCs w:val="24"/>
              </w:rPr>
              <w:t>参与集中的</w:t>
            </w:r>
          </w:p>
          <w:p>
            <w:pPr>
              <w:spacing w:line="276" w:lineRule="auto"/>
              <w:jc w:val="center"/>
              <w:rPr>
                <w:rFonts w:ascii="Times New Roman" w:hAnsi="Times New Roman" w:eastAsia="仿宋_GB2312"/>
                <w:kern w:val="0"/>
                <w:sz w:val="24"/>
                <w:szCs w:val="24"/>
              </w:rPr>
            </w:pPr>
            <w:r>
              <w:rPr>
                <w:rFonts w:ascii="Times New Roman" w:hAnsi="Times New Roman" w:eastAsia="仿宋_GB2312"/>
                <w:kern w:val="0"/>
                <w:sz w:val="24"/>
                <w:szCs w:val="24"/>
              </w:rPr>
              <w:t>经营者简介</w:t>
            </w:r>
          </w:p>
        </w:tc>
        <w:tc>
          <w:tcPr>
            <w:tcW w:w="1588" w:type="dxa"/>
          </w:tcPr>
          <w:p>
            <w:pPr>
              <w:spacing w:line="276" w:lineRule="auto"/>
              <w:rPr>
                <w:rFonts w:ascii="Times New Roman" w:hAnsi="Times New Roman" w:eastAsia="仿宋_GB2312"/>
                <w:b/>
                <w:kern w:val="0"/>
                <w:sz w:val="24"/>
                <w:szCs w:val="24"/>
              </w:rPr>
            </w:pPr>
            <w:r>
              <w:rPr>
                <w:rFonts w:ascii="Times New Roman" w:hAnsi="Times New Roman" w:eastAsia="仿宋_GB2312"/>
                <w:b/>
                <w:kern w:val="0"/>
                <w:sz w:val="24"/>
                <w:szCs w:val="24"/>
              </w:rPr>
              <w:t>1、工银理财</w:t>
            </w:r>
          </w:p>
        </w:tc>
        <w:tc>
          <w:tcPr>
            <w:tcW w:w="5361" w:type="dxa"/>
          </w:tcPr>
          <w:p>
            <w:pPr>
              <w:spacing w:line="276" w:lineRule="auto"/>
              <w:rPr>
                <w:rFonts w:ascii="Times New Roman" w:hAnsi="Times New Roman" w:eastAsia="仿宋_GB2312"/>
                <w:kern w:val="0"/>
                <w:sz w:val="24"/>
                <w:szCs w:val="24"/>
              </w:rPr>
            </w:pPr>
            <w:r>
              <w:rPr>
                <w:rFonts w:ascii="Times New Roman" w:hAnsi="Times New Roman" w:eastAsia="仿宋_GB2312"/>
                <w:kern w:val="0"/>
                <w:sz w:val="24"/>
                <w:szCs w:val="24"/>
              </w:rPr>
              <w:t>工银理财成立于2019年5月28日，注册地址为北京市西城区太平桥大街96号6层。主要从事发行理财产品，以及从事理财顾问，并提供与资产管理相关的咨询业务。具体而言，工银理财按照固定收益、权益、商品及金融衍生品和混合四类构建包括现金管理、固收+、多资产组合、另类4大基础产品线以及权益、量化、跨境3大特色产品线，为客户提供“全谱系、全天候”货架式产品供给。打造添利宝、鑫得利、全鑫权益、鑫稳利、博股通利等产品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809" w:type="dxa"/>
            <w:vMerge w:val="continue"/>
            <w:shd w:val="clear" w:color="auto" w:fill="D9D9D9"/>
            <w:vAlign w:val="center"/>
          </w:tcPr>
          <w:p>
            <w:pPr>
              <w:spacing w:line="276" w:lineRule="auto"/>
              <w:jc w:val="center"/>
              <w:rPr>
                <w:rFonts w:ascii="Times New Roman" w:hAnsi="Times New Roman" w:eastAsia="仿宋_GB2312"/>
                <w:kern w:val="0"/>
                <w:sz w:val="24"/>
                <w:szCs w:val="24"/>
              </w:rPr>
            </w:pPr>
          </w:p>
        </w:tc>
        <w:tc>
          <w:tcPr>
            <w:tcW w:w="1588" w:type="dxa"/>
          </w:tcPr>
          <w:p>
            <w:pPr>
              <w:spacing w:line="276" w:lineRule="auto"/>
              <w:rPr>
                <w:rFonts w:ascii="Times New Roman" w:hAnsi="Times New Roman" w:eastAsia="仿宋_GB2312"/>
                <w:b/>
                <w:kern w:val="0"/>
                <w:sz w:val="24"/>
                <w:szCs w:val="24"/>
              </w:rPr>
            </w:pPr>
            <w:r>
              <w:rPr>
                <w:rFonts w:ascii="Times New Roman" w:hAnsi="Times New Roman" w:eastAsia="仿宋_GB2312"/>
                <w:b/>
                <w:kern w:val="0"/>
                <w:sz w:val="24"/>
                <w:szCs w:val="24"/>
              </w:rPr>
              <w:t>2、高盛资管</w:t>
            </w:r>
          </w:p>
        </w:tc>
        <w:tc>
          <w:tcPr>
            <w:tcW w:w="5361" w:type="dxa"/>
          </w:tcPr>
          <w:p>
            <w:pPr>
              <w:spacing w:line="276" w:lineRule="auto"/>
              <w:rPr>
                <w:rFonts w:ascii="Times New Roman" w:hAnsi="Times New Roman" w:eastAsia="仿宋_GB2312"/>
                <w:kern w:val="0"/>
                <w:sz w:val="24"/>
                <w:szCs w:val="24"/>
              </w:rPr>
            </w:pPr>
            <w:r>
              <w:rPr>
                <w:rFonts w:ascii="Times New Roman" w:hAnsi="Times New Roman" w:eastAsia="仿宋_GB2312"/>
                <w:kern w:val="0"/>
                <w:sz w:val="24"/>
                <w:szCs w:val="24"/>
              </w:rPr>
              <w:t>高盛资管于1990年4月在美国特拉华州成立。高盛资管是高盛集团</w:t>
            </w:r>
            <w:r>
              <w:rPr>
                <w:rFonts w:hint="eastAsia" w:ascii="Times New Roman" w:hAnsi="Times New Roman" w:eastAsia="仿宋_GB2312"/>
                <w:kern w:val="0"/>
                <w:sz w:val="24"/>
                <w:szCs w:val="24"/>
              </w:rPr>
              <w:t>有限</w:t>
            </w:r>
            <w:r>
              <w:rPr>
                <w:rFonts w:ascii="Times New Roman" w:hAnsi="Times New Roman" w:eastAsia="仿宋_GB2312"/>
                <w:kern w:val="0"/>
                <w:sz w:val="24"/>
                <w:szCs w:val="24"/>
              </w:rPr>
              <w:t>公司（The Goldman Sachs Group, Inc.）的子公司，属于其“资产管理”业务部门。高盛资管的业务包括管理机构和第三方配置的传统和另类资产的有关活动。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276" w:lineRule="auto"/>
              <w:jc w:val="center"/>
              <w:rPr>
                <w:rFonts w:ascii="Times New Roman" w:hAnsi="Times New Roman" w:eastAsia="仿宋_GB2312"/>
                <w:kern w:val="0"/>
                <w:sz w:val="24"/>
                <w:szCs w:val="24"/>
              </w:rPr>
            </w:pPr>
            <w:r>
              <w:rPr>
                <w:rFonts w:ascii="Times New Roman" w:hAnsi="Times New Roman" w:eastAsia="仿宋_GB2312"/>
                <w:kern w:val="0"/>
                <w:sz w:val="24"/>
                <w:szCs w:val="24"/>
              </w:rPr>
              <w:t>简易案件理由（可以单选，也可以多选）</w:t>
            </w:r>
          </w:p>
          <w:p>
            <w:pPr>
              <w:spacing w:line="276" w:lineRule="auto"/>
              <w:jc w:val="center"/>
              <w:rPr>
                <w:rFonts w:ascii="Times New Roman" w:hAnsi="Times New Roman" w:eastAsia="仿宋_GB2312"/>
                <w:kern w:val="0"/>
                <w:sz w:val="24"/>
                <w:szCs w:val="24"/>
              </w:rPr>
            </w:pPr>
          </w:p>
        </w:tc>
        <w:tc>
          <w:tcPr>
            <w:tcW w:w="6949" w:type="dxa"/>
            <w:gridSpan w:val="2"/>
            <w:vAlign w:val="center"/>
          </w:tcPr>
          <w:p>
            <w:pPr>
              <w:spacing w:line="276" w:lineRule="auto"/>
              <w:rPr>
                <w:rFonts w:ascii="Times New Roman" w:hAnsi="Times New Roman" w:eastAsia="仿宋_GB2312"/>
                <w:kern w:val="0"/>
                <w:sz w:val="24"/>
                <w:szCs w:val="24"/>
              </w:rPr>
            </w:pPr>
            <w:r>
              <w:rPr>
                <w:rFonts w:ascii="Times New Roman" w:hAnsi="Times New Roman" w:eastAsia="仿宋_GB2312"/>
                <w:kern w:val="0"/>
                <w:sz w:val="24"/>
                <w:szCs w:val="24"/>
              </w:rPr>
              <w:sym w:font="Wingdings" w:char="00A8"/>
            </w:r>
            <w:r>
              <w:rPr>
                <w:rFonts w:ascii="Times New Roman" w:hAnsi="Times New Roman" w:eastAsia="仿宋_GB2312"/>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276" w:lineRule="auto"/>
              <w:jc w:val="center"/>
              <w:rPr>
                <w:rFonts w:ascii="Times New Roman" w:hAnsi="Times New Roman" w:eastAsia="仿宋_GB2312"/>
                <w:kern w:val="0"/>
                <w:sz w:val="24"/>
                <w:szCs w:val="24"/>
              </w:rPr>
            </w:pPr>
          </w:p>
        </w:tc>
        <w:tc>
          <w:tcPr>
            <w:tcW w:w="6949" w:type="dxa"/>
            <w:gridSpan w:val="2"/>
            <w:vAlign w:val="center"/>
          </w:tcPr>
          <w:p>
            <w:pPr>
              <w:spacing w:line="276" w:lineRule="auto"/>
              <w:rPr>
                <w:rFonts w:ascii="Times New Roman" w:hAnsi="Times New Roman" w:eastAsia="仿宋_GB2312"/>
                <w:kern w:val="0"/>
                <w:sz w:val="24"/>
                <w:szCs w:val="24"/>
              </w:rPr>
            </w:pPr>
            <w:r>
              <w:rPr>
                <w:rFonts w:ascii="Times New Roman" w:hAnsi="Times New Roman" w:eastAsia="仿宋_GB2312"/>
                <w:kern w:val="0"/>
                <w:sz w:val="24"/>
                <w:szCs w:val="24"/>
              </w:rPr>
              <w:sym w:font="Wingdings" w:char="00A8"/>
            </w:r>
            <w:r>
              <w:rPr>
                <w:rFonts w:ascii="Times New Roman" w:hAnsi="Times New Roman" w:eastAsia="仿宋_GB2312"/>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276" w:lineRule="auto"/>
              <w:jc w:val="center"/>
              <w:rPr>
                <w:rFonts w:ascii="Times New Roman" w:hAnsi="Times New Roman" w:eastAsia="仿宋_GB2312"/>
                <w:kern w:val="0"/>
                <w:sz w:val="24"/>
                <w:szCs w:val="24"/>
              </w:rPr>
            </w:pPr>
          </w:p>
        </w:tc>
        <w:tc>
          <w:tcPr>
            <w:tcW w:w="6949" w:type="dxa"/>
            <w:gridSpan w:val="2"/>
            <w:vAlign w:val="center"/>
          </w:tcPr>
          <w:p>
            <w:pPr>
              <w:spacing w:line="276" w:lineRule="auto"/>
              <w:rPr>
                <w:rFonts w:ascii="Times New Roman" w:hAnsi="Times New Roman" w:eastAsia="仿宋_GB2312"/>
                <w:kern w:val="0"/>
                <w:sz w:val="24"/>
                <w:szCs w:val="24"/>
              </w:rPr>
            </w:pPr>
            <w:r>
              <w:rPr>
                <w:rFonts w:ascii="Times New Roman" w:hAnsi="Times New Roman" w:eastAsia="仿宋_GB2312"/>
                <w:kern w:val="0"/>
                <w:sz w:val="24"/>
                <w:szCs w:val="24"/>
              </w:rPr>
              <w:sym w:font="Wingdings 2" w:char="0052"/>
            </w:r>
            <w:r>
              <w:rPr>
                <w:rFonts w:ascii="Times New Roman" w:hAnsi="Times New Roman" w:eastAsia="仿宋_GB2312"/>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276" w:lineRule="auto"/>
              <w:jc w:val="center"/>
              <w:rPr>
                <w:rFonts w:ascii="Times New Roman" w:hAnsi="Times New Roman" w:eastAsia="仿宋_GB2312"/>
                <w:kern w:val="0"/>
                <w:sz w:val="24"/>
                <w:szCs w:val="24"/>
              </w:rPr>
            </w:pPr>
          </w:p>
        </w:tc>
        <w:tc>
          <w:tcPr>
            <w:tcW w:w="6949" w:type="dxa"/>
            <w:gridSpan w:val="2"/>
            <w:vAlign w:val="center"/>
          </w:tcPr>
          <w:p>
            <w:pPr>
              <w:spacing w:line="276" w:lineRule="auto"/>
              <w:rPr>
                <w:rFonts w:ascii="Times New Roman" w:hAnsi="Times New Roman" w:eastAsia="仿宋_GB2312"/>
                <w:kern w:val="0"/>
                <w:sz w:val="24"/>
                <w:szCs w:val="24"/>
              </w:rPr>
            </w:pPr>
            <w:r>
              <w:rPr>
                <w:rFonts w:ascii="Times New Roman" w:hAnsi="Times New Roman" w:eastAsia="仿宋_GB2312"/>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276" w:lineRule="auto"/>
              <w:jc w:val="center"/>
              <w:rPr>
                <w:rFonts w:ascii="Times New Roman" w:hAnsi="Times New Roman" w:eastAsia="仿宋_GB2312"/>
                <w:kern w:val="0"/>
                <w:sz w:val="24"/>
                <w:szCs w:val="24"/>
              </w:rPr>
            </w:pPr>
          </w:p>
        </w:tc>
        <w:tc>
          <w:tcPr>
            <w:tcW w:w="6949" w:type="dxa"/>
            <w:gridSpan w:val="2"/>
            <w:vAlign w:val="center"/>
          </w:tcPr>
          <w:p>
            <w:pPr>
              <w:spacing w:line="276" w:lineRule="auto"/>
              <w:rPr>
                <w:rFonts w:ascii="Times New Roman" w:hAnsi="Times New Roman" w:eastAsia="仿宋_GB2312"/>
                <w:kern w:val="0"/>
                <w:sz w:val="24"/>
                <w:szCs w:val="24"/>
              </w:rPr>
            </w:pPr>
            <w:r>
              <w:rPr>
                <w:rFonts w:ascii="Times New Roman" w:hAnsi="Times New Roman" w:eastAsia="仿宋_GB2312"/>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276" w:lineRule="auto"/>
              <w:jc w:val="center"/>
              <w:rPr>
                <w:rFonts w:ascii="Times New Roman" w:hAnsi="Times New Roman" w:eastAsia="仿宋_GB2312"/>
                <w:kern w:val="0"/>
                <w:sz w:val="24"/>
                <w:szCs w:val="24"/>
              </w:rPr>
            </w:pPr>
          </w:p>
        </w:tc>
        <w:tc>
          <w:tcPr>
            <w:tcW w:w="6949" w:type="dxa"/>
            <w:gridSpan w:val="2"/>
            <w:vAlign w:val="center"/>
          </w:tcPr>
          <w:p>
            <w:pPr>
              <w:spacing w:line="276" w:lineRule="auto"/>
              <w:rPr>
                <w:rFonts w:ascii="Times New Roman" w:hAnsi="Times New Roman" w:eastAsia="仿宋_GB2312"/>
                <w:kern w:val="0"/>
                <w:sz w:val="24"/>
                <w:szCs w:val="24"/>
              </w:rPr>
            </w:pPr>
            <w:r>
              <w:rPr>
                <w:rFonts w:ascii="Times New Roman" w:hAnsi="Times New Roman" w:eastAsia="仿宋_GB2312"/>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1809" w:type="dxa"/>
            <w:shd w:val="clear" w:color="auto" w:fill="D9D9D9"/>
            <w:vAlign w:val="center"/>
          </w:tcPr>
          <w:p>
            <w:pPr>
              <w:spacing w:line="276" w:lineRule="auto"/>
              <w:jc w:val="center"/>
              <w:rPr>
                <w:rFonts w:ascii="Times New Roman" w:hAnsi="Times New Roman" w:eastAsia="仿宋_GB2312"/>
                <w:kern w:val="0"/>
                <w:sz w:val="24"/>
                <w:szCs w:val="24"/>
              </w:rPr>
            </w:pPr>
            <w:r>
              <w:rPr>
                <w:rFonts w:ascii="Times New Roman" w:hAnsi="Times New Roman" w:eastAsia="仿宋_GB2312"/>
                <w:kern w:val="0"/>
                <w:sz w:val="24"/>
                <w:szCs w:val="24"/>
              </w:rPr>
              <w:t>备注</w:t>
            </w:r>
          </w:p>
        </w:tc>
        <w:tc>
          <w:tcPr>
            <w:tcW w:w="6949" w:type="dxa"/>
            <w:gridSpan w:val="2"/>
          </w:tcPr>
          <w:p>
            <w:pPr>
              <w:spacing w:line="276" w:lineRule="auto"/>
              <w:rPr>
                <w:rFonts w:ascii="Times New Roman" w:hAnsi="Times New Roman" w:eastAsia="仿宋_GB2312"/>
                <w:kern w:val="0"/>
                <w:sz w:val="24"/>
                <w:szCs w:val="24"/>
              </w:rPr>
            </w:pPr>
            <w:bookmarkStart w:id="0" w:name="OLE_LINK1"/>
            <w:bookmarkStart w:id="1" w:name="OLE_LINK2"/>
            <w:r>
              <w:rPr>
                <w:rFonts w:ascii="Times New Roman" w:hAnsi="Times New Roman" w:eastAsia="仿宋_GB2312"/>
                <w:kern w:val="0"/>
                <w:sz w:val="24"/>
                <w:szCs w:val="24"/>
              </w:rPr>
              <w:t>中国</w:t>
            </w:r>
            <w:r>
              <w:rPr>
                <w:rFonts w:hint="eastAsia" w:ascii="Times New Roman" w:hAnsi="Times New Roman" w:eastAsia="仿宋_GB2312"/>
                <w:kern w:val="0"/>
                <w:sz w:val="24"/>
                <w:szCs w:val="24"/>
                <w:lang w:eastAsia="zh-CN"/>
              </w:rPr>
              <w:t>境内</w:t>
            </w:r>
            <w:r>
              <w:rPr>
                <w:rFonts w:ascii="Times New Roman" w:hAnsi="Times New Roman" w:eastAsia="仿宋_GB2312"/>
                <w:kern w:val="0"/>
                <w:sz w:val="24"/>
                <w:szCs w:val="24"/>
              </w:rPr>
              <w:t>银行理财</w:t>
            </w:r>
            <w:bookmarkEnd w:id="0"/>
            <w:bookmarkEnd w:id="1"/>
            <w:r>
              <w:rPr>
                <w:rFonts w:ascii="Times New Roman" w:hAnsi="Times New Roman" w:eastAsia="仿宋_GB2312"/>
                <w:kern w:val="0"/>
                <w:sz w:val="24"/>
                <w:szCs w:val="24"/>
              </w:rPr>
              <w:t>产品市场，工商银行（包含工银理财）：[10-15]%；合营企业：0%</w:t>
            </w:r>
            <w:r>
              <w:rPr>
                <w:rFonts w:hint="eastAsia" w:ascii="Times New Roman" w:hAnsi="Times New Roman" w:eastAsia="仿宋_GB2312"/>
                <w:kern w:val="0"/>
                <w:sz w:val="24"/>
                <w:szCs w:val="24"/>
              </w:rPr>
              <w:t>。</w:t>
            </w:r>
          </w:p>
          <w:p>
            <w:pPr>
              <w:spacing w:line="276" w:lineRule="auto"/>
              <w:rPr>
                <w:rFonts w:ascii="Times New Roman" w:hAnsi="Times New Roman" w:eastAsia="仿宋_GB2312"/>
                <w:kern w:val="0"/>
                <w:sz w:val="24"/>
                <w:szCs w:val="24"/>
              </w:rPr>
            </w:pPr>
            <w:r>
              <w:rPr>
                <w:rFonts w:ascii="Times New Roman" w:hAnsi="Times New Roman" w:eastAsia="仿宋_GB2312"/>
                <w:kern w:val="0"/>
                <w:sz w:val="24"/>
                <w:szCs w:val="24"/>
              </w:rPr>
              <w:t>中国</w:t>
            </w:r>
            <w:r>
              <w:rPr>
                <w:rFonts w:hint="eastAsia" w:ascii="Times New Roman" w:hAnsi="Times New Roman" w:eastAsia="仿宋_GB2312"/>
                <w:kern w:val="0"/>
                <w:sz w:val="24"/>
                <w:szCs w:val="24"/>
                <w:lang w:eastAsia="zh-CN"/>
              </w:rPr>
              <w:t>境内</w:t>
            </w:r>
            <w:r>
              <w:rPr>
                <w:rFonts w:ascii="Times New Roman" w:hAnsi="Times New Roman" w:eastAsia="仿宋_GB2312"/>
                <w:kern w:val="0"/>
                <w:sz w:val="24"/>
                <w:szCs w:val="24"/>
              </w:rPr>
              <w:t>银行理财产品分销市场，工商银行（包含工银理财）：[5-10]%。</w:t>
            </w:r>
            <w:bookmarkStart w:id="2" w:name="_GoBack"/>
            <w:bookmarkEnd w:id="2"/>
          </w:p>
        </w:tc>
      </w:tr>
    </w:tbl>
    <w:p>
      <w:pPr>
        <w:snapToGrid w:val="0"/>
        <w:spacing w:line="276" w:lineRule="auto"/>
        <w:jc w:val="left"/>
        <w:rPr>
          <w:rFonts w:ascii="Times New Roman" w:hAnsi="Times New Roman" w:eastAsia="仿宋_GB2312"/>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宋简"/>
    <w:panose1 w:val="02010600030101010101"/>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汉仪中宋简">
    <w:panose1 w:val="02010600000101010101"/>
    <w:charset w:val="86"/>
    <w:family w:val="auto"/>
    <w:pitch w:val="default"/>
    <w:sig w:usb0="00000001" w:usb1="080E0800" w:usb2="00000002" w:usb3="00000000" w:csb0="00040000" w:csb1="00000000"/>
  </w:font>
  <w:font w:name="Wingdings 2">
    <w:panose1 w:val="050201020105070707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5954"/>
    <w:rsid w:val="00006801"/>
    <w:rsid w:val="00027DAE"/>
    <w:rsid w:val="00037065"/>
    <w:rsid w:val="00052042"/>
    <w:rsid w:val="00062291"/>
    <w:rsid w:val="000625B7"/>
    <w:rsid w:val="00071BFC"/>
    <w:rsid w:val="0008504B"/>
    <w:rsid w:val="0008522A"/>
    <w:rsid w:val="0008623E"/>
    <w:rsid w:val="00087CF6"/>
    <w:rsid w:val="000C32CE"/>
    <w:rsid w:val="000D5651"/>
    <w:rsid w:val="000D7EBA"/>
    <w:rsid w:val="000E7106"/>
    <w:rsid w:val="00105EB5"/>
    <w:rsid w:val="001164CD"/>
    <w:rsid w:val="001249F2"/>
    <w:rsid w:val="0012597F"/>
    <w:rsid w:val="00136A3B"/>
    <w:rsid w:val="00137B0D"/>
    <w:rsid w:val="001423A3"/>
    <w:rsid w:val="00155717"/>
    <w:rsid w:val="001837A3"/>
    <w:rsid w:val="0019745E"/>
    <w:rsid w:val="001A2106"/>
    <w:rsid w:val="001B10DD"/>
    <w:rsid w:val="001C5340"/>
    <w:rsid w:val="001E0A36"/>
    <w:rsid w:val="00214E68"/>
    <w:rsid w:val="00236FB6"/>
    <w:rsid w:val="00255535"/>
    <w:rsid w:val="00284E0C"/>
    <w:rsid w:val="002A3649"/>
    <w:rsid w:val="002C1AF9"/>
    <w:rsid w:val="002C5975"/>
    <w:rsid w:val="002E0B19"/>
    <w:rsid w:val="002E1C68"/>
    <w:rsid w:val="002E3265"/>
    <w:rsid w:val="002E73D8"/>
    <w:rsid w:val="002F0F7A"/>
    <w:rsid w:val="002F3460"/>
    <w:rsid w:val="00300479"/>
    <w:rsid w:val="00313046"/>
    <w:rsid w:val="00351C60"/>
    <w:rsid w:val="00351E1D"/>
    <w:rsid w:val="003578D8"/>
    <w:rsid w:val="00360A94"/>
    <w:rsid w:val="00361841"/>
    <w:rsid w:val="00375BD1"/>
    <w:rsid w:val="00397794"/>
    <w:rsid w:val="003A72CD"/>
    <w:rsid w:val="003B75EA"/>
    <w:rsid w:val="003B7703"/>
    <w:rsid w:val="003C0AEB"/>
    <w:rsid w:val="003C69DC"/>
    <w:rsid w:val="003E5B1D"/>
    <w:rsid w:val="003F2623"/>
    <w:rsid w:val="003F7F43"/>
    <w:rsid w:val="0042352E"/>
    <w:rsid w:val="0044138F"/>
    <w:rsid w:val="0045703E"/>
    <w:rsid w:val="00475547"/>
    <w:rsid w:val="00482940"/>
    <w:rsid w:val="004F7688"/>
    <w:rsid w:val="00533330"/>
    <w:rsid w:val="00540581"/>
    <w:rsid w:val="00544AE7"/>
    <w:rsid w:val="00561070"/>
    <w:rsid w:val="0057078C"/>
    <w:rsid w:val="005B4CDB"/>
    <w:rsid w:val="005D3944"/>
    <w:rsid w:val="005E59AE"/>
    <w:rsid w:val="006467D8"/>
    <w:rsid w:val="0066510C"/>
    <w:rsid w:val="00673118"/>
    <w:rsid w:val="006737E4"/>
    <w:rsid w:val="00673AC8"/>
    <w:rsid w:val="006A531B"/>
    <w:rsid w:val="006B0EE0"/>
    <w:rsid w:val="006B5550"/>
    <w:rsid w:val="006B78BE"/>
    <w:rsid w:val="006D6571"/>
    <w:rsid w:val="006E249C"/>
    <w:rsid w:val="006F7693"/>
    <w:rsid w:val="0070147B"/>
    <w:rsid w:val="00710140"/>
    <w:rsid w:val="007327A7"/>
    <w:rsid w:val="007377FC"/>
    <w:rsid w:val="00737E7D"/>
    <w:rsid w:val="007669D6"/>
    <w:rsid w:val="00766AA8"/>
    <w:rsid w:val="007703E0"/>
    <w:rsid w:val="007730F7"/>
    <w:rsid w:val="00792B33"/>
    <w:rsid w:val="007A24AE"/>
    <w:rsid w:val="007A2CFD"/>
    <w:rsid w:val="007A4A68"/>
    <w:rsid w:val="007B6176"/>
    <w:rsid w:val="007D27A3"/>
    <w:rsid w:val="007E0C73"/>
    <w:rsid w:val="007F21AC"/>
    <w:rsid w:val="007F2275"/>
    <w:rsid w:val="0081070D"/>
    <w:rsid w:val="0081581F"/>
    <w:rsid w:val="008274FE"/>
    <w:rsid w:val="00845BD3"/>
    <w:rsid w:val="008A5BB9"/>
    <w:rsid w:val="008C5257"/>
    <w:rsid w:val="008D3B47"/>
    <w:rsid w:val="008E1DBF"/>
    <w:rsid w:val="00906212"/>
    <w:rsid w:val="00915F0F"/>
    <w:rsid w:val="009219CC"/>
    <w:rsid w:val="009221E2"/>
    <w:rsid w:val="009532DF"/>
    <w:rsid w:val="00975C84"/>
    <w:rsid w:val="00976E53"/>
    <w:rsid w:val="009861D4"/>
    <w:rsid w:val="00997019"/>
    <w:rsid w:val="009A1B42"/>
    <w:rsid w:val="009A5029"/>
    <w:rsid w:val="009C742F"/>
    <w:rsid w:val="009D38D5"/>
    <w:rsid w:val="009D5152"/>
    <w:rsid w:val="009F5C7F"/>
    <w:rsid w:val="00A0667C"/>
    <w:rsid w:val="00A35FB3"/>
    <w:rsid w:val="00A53F26"/>
    <w:rsid w:val="00A8399C"/>
    <w:rsid w:val="00A85860"/>
    <w:rsid w:val="00AA0CC5"/>
    <w:rsid w:val="00AA3758"/>
    <w:rsid w:val="00AA54AC"/>
    <w:rsid w:val="00AD0C09"/>
    <w:rsid w:val="00AD2B47"/>
    <w:rsid w:val="00AE2C7A"/>
    <w:rsid w:val="00B0004A"/>
    <w:rsid w:val="00B06473"/>
    <w:rsid w:val="00B16AFE"/>
    <w:rsid w:val="00B224FD"/>
    <w:rsid w:val="00B250E5"/>
    <w:rsid w:val="00B32008"/>
    <w:rsid w:val="00B371C0"/>
    <w:rsid w:val="00B506F7"/>
    <w:rsid w:val="00B65DD5"/>
    <w:rsid w:val="00B70F98"/>
    <w:rsid w:val="00B800A4"/>
    <w:rsid w:val="00BA4778"/>
    <w:rsid w:val="00BB0D57"/>
    <w:rsid w:val="00BC308F"/>
    <w:rsid w:val="00BD10B6"/>
    <w:rsid w:val="00BD77A5"/>
    <w:rsid w:val="00C07076"/>
    <w:rsid w:val="00C3042A"/>
    <w:rsid w:val="00C337C9"/>
    <w:rsid w:val="00C419CD"/>
    <w:rsid w:val="00C73CCB"/>
    <w:rsid w:val="00C915BD"/>
    <w:rsid w:val="00CA4143"/>
    <w:rsid w:val="00CB00DF"/>
    <w:rsid w:val="00CB2271"/>
    <w:rsid w:val="00CE2C34"/>
    <w:rsid w:val="00CE6665"/>
    <w:rsid w:val="00CF0CE2"/>
    <w:rsid w:val="00CF2C5D"/>
    <w:rsid w:val="00CF2F03"/>
    <w:rsid w:val="00D0048F"/>
    <w:rsid w:val="00D14448"/>
    <w:rsid w:val="00D434CD"/>
    <w:rsid w:val="00D4646D"/>
    <w:rsid w:val="00D47923"/>
    <w:rsid w:val="00D56F4A"/>
    <w:rsid w:val="00D60F59"/>
    <w:rsid w:val="00D614CA"/>
    <w:rsid w:val="00D620B0"/>
    <w:rsid w:val="00D63B42"/>
    <w:rsid w:val="00D73C72"/>
    <w:rsid w:val="00DB48C3"/>
    <w:rsid w:val="00DB5D1C"/>
    <w:rsid w:val="00DB5D9E"/>
    <w:rsid w:val="00DE1A2D"/>
    <w:rsid w:val="00E00ACB"/>
    <w:rsid w:val="00E0592B"/>
    <w:rsid w:val="00E05C5F"/>
    <w:rsid w:val="00E31738"/>
    <w:rsid w:val="00E32697"/>
    <w:rsid w:val="00E41A16"/>
    <w:rsid w:val="00E86786"/>
    <w:rsid w:val="00EA415D"/>
    <w:rsid w:val="00EA5B2A"/>
    <w:rsid w:val="00EC1743"/>
    <w:rsid w:val="00EC1F0C"/>
    <w:rsid w:val="00ED2F80"/>
    <w:rsid w:val="00ED3A58"/>
    <w:rsid w:val="00EE7A32"/>
    <w:rsid w:val="00EE7B59"/>
    <w:rsid w:val="00F01FBB"/>
    <w:rsid w:val="00F1624E"/>
    <w:rsid w:val="00F237C1"/>
    <w:rsid w:val="00F24DAA"/>
    <w:rsid w:val="00F259D4"/>
    <w:rsid w:val="00F32F8A"/>
    <w:rsid w:val="00F518A9"/>
    <w:rsid w:val="00F631B3"/>
    <w:rsid w:val="00F810AA"/>
    <w:rsid w:val="00F84C09"/>
    <w:rsid w:val="00FB3757"/>
    <w:rsid w:val="00FB43EC"/>
    <w:rsid w:val="00FB6B40"/>
    <w:rsid w:val="00FC1A01"/>
    <w:rsid w:val="00FE1794"/>
    <w:rsid w:val="00FE52D3"/>
    <w:rsid w:val="ADB190C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semiHidden/>
    <w:unhideWhenUsed/>
    <w:qFormat/>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7"/>
    <w:semiHidden/>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99"/>
    <w:rPr>
      <w:sz w:val="21"/>
      <w:szCs w:val="21"/>
    </w:rPr>
  </w:style>
  <w:style w:type="character" w:customStyle="1" w:styleId="11">
    <w:name w:val="页眉 字符"/>
    <w:basedOn w:val="9"/>
    <w:link w:val="5"/>
    <w:qFormat/>
    <w:uiPriority w:val="99"/>
    <w:rPr>
      <w:rFonts w:ascii="Calibri" w:hAnsi="Calibri" w:eastAsia="宋体" w:cs="Times New Roman"/>
      <w:sz w:val="18"/>
      <w:szCs w:val="18"/>
    </w:rPr>
  </w:style>
  <w:style w:type="character" w:customStyle="1" w:styleId="12">
    <w:name w:val="页脚 字符"/>
    <w:basedOn w:val="9"/>
    <w:link w:val="4"/>
    <w:qFormat/>
    <w:uiPriority w:val="99"/>
    <w:rPr>
      <w:rFonts w:ascii="Calibri" w:hAnsi="Calibri" w:eastAsia="宋体" w:cs="Times New Roman"/>
      <w:sz w:val="18"/>
      <w:szCs w:val="18"/>
    </w:rPr>
  </w:style>
  <w:style w:type="character" w:customStyle="1" w:styleId="13">
    <w:name w:val="批注框文本 字符"/>
    <w:basedOn w:val="9"/>
    <w:link w:val="3"/>
    <w:semiHidden/>
    <w:qFormat/>
    <w:uiPriority w:val="99"/>
    <w:rPr>
      <w:rFonts w:ascii="Calibri" w:hAnsi="Calibri" w:eastAsia="宋体" w:cs="Times New Roman"/>
      <w:sz w:val="18"/>
      <w:szCs w:val="18"/>
    </w:rPr>
  </w:style>
  <w:style w:type="paragraph" w:styleId="14">
    <w:name w:val="List Paragraph"/>
    <w:basedOn w:val="1"/>
    <w:link w:val="15"/>
    <w:qFormat/>
    <w:uiPriority w:val="34"/>
    <w:pPr>
      <w:ind w:firstLine="420" w:firstLineChars="200"/>
    </w:pPr>
    <w:rPr>
      <w:rFonts w:asciiTheme="minorHAnsi" w:hAnsiTheme="minorHAnsi" w:eastAsiaTheme="minorEastAsia" w:cstheme="minorBidi"/>
    </w:rPr>
  </w:style>
  <w:style w:type="character" w:customStyle="1" w:styleId="15">
    <w:name w:val="列出段落 字符"/>
    <w:link w:val="14"/>
    <w:qFormat/>
    <w:locked/>
    <w:uiPriority w:val="34"/>
  </w:style>
  <w:style w:type="character" w:customStyle="1" w:styleId="16">
    <w:name w:val="批注文字 字符"/>
    <w:basedOn w:val="9"/>
    <w:link w:val="2"/>
    <w:semiHidden/>
    <w:qFormat/>
    <w:uiPriority w:val="99"/>
    <w:rPr>
      <w:rFonts w:ascii="Calibri" w:hAnsi="Calibri" w:eastAsia="宋体" w:cs="Times New Roman"/>
    </w:rPr>
  </w:style>
  <w:style w:type="character" w:customStyle="1" w:styleId="17">
    <w:name w:val="批注主题 字符"/>
    <w:basedOn w:val="16"/>
    <w:link w:val="6"/>
    <w:semiHidden/>
    <w:qFormat/>
    <w:uiPriority w:val="99"/>
    <w:rPr>
      <w:rFonts w:ascii="Calibri" w:hAnsi="Calibri" w:eastAsia="宋体" w:cs="Times New Roman"/>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165</Words>
  <Characters>946</Characters>
  <Lines>7</Lines>
  <Paragraphs>2</Paragraphs>
  <TotalTime>1</TotalTime>
  <ScaleCrop>false</ScaleCrop>
  <LinksUpToDate>false</LinksUpToDate>
  <CharactersWithSpaces>1109</CharactersWithSpaces>
  <Application>WPS Office_11.8.2.10458_F1E327BC-269C-435d-A152-05C5408002CA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2021-10-12T12:21:00Z</dcterms:created>
  <dc:creator>King &amp; Wood Mallesons</dc:creator>
  <cp:lastModifiedBy>greatwall</cp:lastModifiedBy>
  <dcterms:modified xsi:type="dcterms:W3CDTF">2021-12-13T16:18:27Z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2052-11.8.2.10458</vt:lpwstr>
  </property>
</Properties>
</file>