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经营者集中简易案件公示表</w:t>
      </w:r>
    </w:p>
    <w:p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9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47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>
            <w:pPr>
              <w:spacing w:before="156" w:beforeLines="50"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 w:cs="宋体"/>
                <w:kern w:val="0"/>
                <w:szCs w:val="21"/>
              </w:rPr>
              <w:t>不二制油集团控股株式会社与伊藤忠商事株式会社新设合营企业案（“</w:t>
            </w:r>
            <w:r>
              <w:rPr>
                <w:rFonts w:hint="eastAsia" w:ascii="Times New Roman" w:hAnsi="Times New Roman" w:cs="宋体"/>
                <w:b/>
                <w:bCs/>
                <w:kern w:val="0"/>
                <w:szCs w:val="21"/>
              </w:rPr>
              <w:t>拟议交易</w:t>
            </w:r>
            <w:r>
              <w:rPr>
                <w:rFonts w:hint="eastAsia" w:ascii="Times New Roman" w:hAnsi="Times New Roman" w:cs="宋体"/>
                <w:kern w:val="0"/>
                <w:szCs w:val="21"/>
              </w:rPr>
              <w:t>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交易概况（限200字内）</w:t>
            </w:r>
          </w:p>
        </w:tc>
        <w:tc>
          <w:tcPr>
            <w:tcW w:w="6550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/>
                <w:szCs w:val="24"/>
              </w:rPr>
              <w:t>拟议交易涉及不二制油集团控股株式会社（</w:t>
            </w:r>
            <w:r>
              <w:rPr>
                <w:rFonts w:hint="eastAsia" w:ascii="Times New Roman" w:hAnsi="Times New Roman"/>
                <w:szCs w:val="24"/>
              </w:rPr>
              <w:t>“</w:t>
            </w:r>
            <w:r>
              <w:rPr>
                <w:rFonts w:ascii="Times New Roman" w:hAnsi="Times New Roman"/>
                <w:b/>
                <w:szCs w:val="24"/>
              </w:rPr>
              <w:t>不二制油</w:t>
            </w:r>
            <w:r>
              <w:rPr>
                <w:rFonts w:hint="eastAsia" w:ascii="Times New Roman" w:hAnsi="Times New Roman"/>
                <w:szCs w:val="24"/>
              </w:rPr>
              <w:t>”</w:t>
            </w:r>
            <w:r>
              <w:rPr>
                <w:rFonts w:ascii="Times New Roman" w:hAnsi="Times New Roman"/>
                <w:szCs w:val="24"/>
              </w:rPr>
              <w:t>，通过其全资子公司不二美洲有限公司（</w:t>
            </w:r>
            <w:r>
              <w:rPr>
                <w:rFonts w:hint="eastAsia" w:ascii="Times New Roman" w:hAnsi="Times New Roman"/>
                <w:szCs w:val="24"/>
              </w:rPr>
              <w:t>“</w:t>
            </w:r>
            <w:r>
              <w:rPr>
                <w:rFonts w:ascii="Times New Roman" w:hAnsi="Times New Roman"/>
                <w:b/>
                <w:szCs w:val="24"/>
              </w:rPr>
              <w:t>不二美洲</w:t>
            </w:r>
            <w:r>
              <w:rPr>
                <w:rFonts w:hint="eastAsia" w:ascii="Times New Roman" w:hAnsi="Times New Roman"/>
                <w:szCs w:val="24"/>
              </w:rPr>
              <w:t>”</w:t>
            </w:r>
            <w:r>
              <w:rPr>
                <w:rFonts w:ascii="Times New Roman" w:hAnsi="Times New Roman"/>
                <w:szCs w:val="24"/>
              </w:rPr>
              <w:t>））和</w:t>
            </w:r>
            <w:r>
              <w:rPr>
                <w:rFonts w:hint="eastAsia" w:ascii="Times New Roman" w:hAnsi="Times New Roman"/>
                <w:szCs w:val="24"/>
              </w:rPr>
              <w:t>伊藤忠商事株式会社（“</w:t>
            </w:r>
            <w:r>
              <w:rPr>
                <w:rFonts w:hint="eastAsia" w:ascii="Times New Roman" w:hAnsi="Times New Roman"/>
                <w:b/>
                <w:szCs w:val="24"/>
              </w:rPr>
              <w:t>伊藤忠</w:t>
            </w:r>
            <w:r>
              <w:rPr>
                <w:rFonts w:hint="eastAsia" w:ascii="Times New Roman" w:hAnsi="Times New Roman"/>
                <w:szCs w:val="24"/>
              </w:rPr>
              <w:t>”，通过其全资子公司伊藤忠国际股份有限公司（“</w:t>
            </w:r>
            <w:r>
              <w:rPr>
                <w:rFonts w:hint="eastAsia" w:ascii="Times New Roman" w:hAnsi="Times New Roman"/>
                <w:b/>
                <w:szCs w:val="24"/>
              </w:rPr>
              <w:t>伊藤忠国际</w:t>
            </w:r>
            <w:r>
              <w:rPr>
                <w:rFonts w:hint="eastAsia" w:ascii="Times New Roman" w:hAnsi="Times New Roman"/>
                <w:szCs w:val="24"/>
              </w:rPr>
              <w:t>”））拟在北美新设合营企业（“</w:t>
            </w:r>
            <w:r>
              <w:rPr>
                <w:rFonts w:hint="eastAsia" w:ascii="Times New Roman" w:hAnsi="Times New Roman"/>
                <w:b/>
                <w:szCs w:val="24"/>
              </w:rPr>
              <w:t>合营企业</w:t>
            </w:r>
            <w:r>
              <w:rPr>
                <w:rFonts w:hint="eastAsia" w:ascii="Times New Roman" w:hAnsi="Times New Roman"/>
                <w:szCs w:val="24"/>
              </w:rPr>
              <w:t>”），</w:t>
            </w:r>
            <w:r>
              <w:rPr>
                <w:rFonts w:hint="eastAsia" w:ascii="Times" w:hAnsi="Times" w:cs="Arial"/>
                <w:szCs w:val="21"/>
              </w:rPr>
              <w:t>以整合各自的植物油业务子公司</w:t>
            </w:r>
            <w:r>
              <w:rPr>
                <w:rFonts w:hint="eastAsia" w:ascii="Times New Roman" w:hAnsi="Times New Roman"/>
                <w:szCs w:val="24"/>
              </w:rPr>
              <w:t>。拟议交易完成后，合营企业将由不二美洲和伊藤忠国际按80:20的比例持有，并由他们共同控制。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pStyle w:val="20"/>
              <w:numPr>
                <w:ilvl w:val="0"/>
                <w:numId w:val="1"/>
              </w:numPr>
              <w:spacing w:before="156" w:beforeLines="50" w:after="156" w:afterLines="50"/>
              <w:ind w:firstLineChars="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不二制油</w:t>
            </w:r>
          </w:p>
        </w:tc>
        <w:tc>
          <w:tcPr>
            <w:tcW w:w="4754" w:type="dxa"/>
          </w:tcPr>
          <w:p>
            <w:pPr>
              <w:spacing w:before="156" w:beforeLines="50" w:after="156" w:afterLines="5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不二制油于1</w:t>
            </w:r>
            <w:r>
              <w:rPr>
                <w:rFonts w:ascii="Times New Roman" w:hAnsi="Times New Roman"/>
                <w:szCs w:val="21"/>
              </w:rPr>
              <w:t>950</w:t>
            </w:r>
            <w:r>
              <w:rPr>
                <w:rFonts w:hint="eastAsia" w:ascii="Times New Roman" w:hAnsi="Times New Roman"/>
                <w:szCs w:val="21"/>
              </w:rPr>
              <w:t>年1</w:t>
            </w:r>
            <w:r>
              <w:rPr>
                <w:rFonts w:ascii="Times New Roman" w:hAnsi="Times New Roman"/>
                <w:szCs w:val="21"/>
              </w:rPr>
              <w:t>0</w:t>
            </w:r>
            <w:r>
              <w:rPr>
                <w:rFonts w:hint="eastAsia" w:ascii="Times New Roman" w:hAnsi="Times New Roman"/>
                <w:szCs w:val="21"/>
              </w:rPr>
              <w:t>月成立于日本，是一家食品公司，主要产品包括植物油和脂肪，工业级巧克力，乳化和发酵配料，和大豆配料等。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96" w:type="dxa"/>
          </w:tcPr>
          <w:p>
            <w:pPr>
              <w:pStyle w:val="20"/>
              <w:numPr>
                <w:ilvl w:val="0"/>
                <w:numId w:val="1"/>
              </w:numPr>
              <w:spacing w:before="156" w:beforeLines="50" w:after="156" w:afterLines="50"/>
              <w:ind w:firstLineChars="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伊藤忠</w:t>
            </w:r>
          </w:p>
        </w:tc>
        <w:tc>
          <w:tcPr>
            <w:tcW w:w="4754" w:type="dxa"/>
          </w:tcPr>
          <w:p>
            <w:pPr>
              <w:spacing w:before="156" w:beforeLines="50" w:after="156" w:afterLines="50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szCs w:val="21"/>
              </w:rPr>
              <w:t>伊藤忠于</w:t>
            </w:r>
            <w:r>
              <w:rPr>
                <w:rFonts w:ascii="Times New Roman" w:hAnsi="Times New Roman"/>
                <w:color w:val="000000"/>
                <w:szCs w:val="21"/>
              </w:rPr>
              <w:t>1949</w:t>
            </w:r>
            <w:r>
              <w:rPr>
                <w:rFonts w:hint="eastAsia" w:ascii="Times New Roman" w:hAnsi="Times New Roman"/>
                <w:color w:val="000000"/>
                <w:szCs w:val="21"/>
              </w:rPr>
              <w:t>年</w:t>
            </w:r>
            <w:r>
              <w:rPr>
                <w:rFonts w:ascii="Times New Roman" w:hAnsi="Times New Roman"/>
                <w:color w:val="000000"/>
                <w:szCs w:val="21"/>
              </w:rPr>
              <w:t>12</w:t>
            </w:r>
            <w:r>
              <w:rPr>
                <w:rFonts w:hint="eastAsia" w:ascii="Times New Roman" w:hAnsi="Times New Roman"/>
                <w:color w:val="000000"/>
                <w:szCs w:val="21"/>
              </w:rPr>
              <w:t>月成立于日本，是一家大型综合贸易公司，业务领域包括纤维、机械、金属、能源、化工、粮油食品、住房、信息和通信、金融。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简易案件理由（可以单选，也可以多选）</w:t>
            </w: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Cs w:val="21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>
              <w:rPr>
                <w:rFonts w:ascii="Times New Roman" w:hAnsi="Times New Roman" w:cs="Arial"/>
                <w:szCs w:val="21"/>
                <w:lang w:val="en-GB"/>
              </w:rPr>
              <w:t xml:space="preserve"> </w:t>
            </w:r>
            <w:r>
              <w:rPr>
                <w:rFonts w:ascii="Times New Roman" w:hAnsi="Times New Roman"/>
                <w:szCs w:val="21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Cs w:val="21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szCs w:val="21"/>
              </w:rPr>
              <w:sym w:font="Wingdings" w:char="F0FE"/>
            </w:r>
            <w:r>
              <w:rPr>
                <w:rFonts w:ascii="Times New Roman" w:hAnsi="Times New Roman"/>
                <w:szCs w:val="21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Cs w:val="21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>
              <w:rPr>
                <w:rFonts w:ascii="Times New Roman" w:hAnsi="Times New Roman"/>
                <w:szCs w:val="21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/>
                <w:b/>
                <w:bCs/>
                <w:szCs w:val="21"/>
              </w:rPr>
              <w:t>备注</w:t>
            </w:r>
          </w:p>
        </w:tc>
        <w:tc>
          <w:tcPr>
            <w:tcW w:w="6550" w:type="dxa"/>
            <w:gridSpan w:val="2"/>
          </w:tcPr>
          <w:p>
            <w:pPr>
              <w:widowControl/>
              <w:snapToGrid w:val="0"/>
              <w:spacing w:before="156" w:beforeLines="5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不适用</w:t>
            </w:r>
            <w:bookmarkStart w:id="0" w:name="_GoBack"/>
            <w:bookmarkEnd w:id="0"/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MingLiU">
    <w:altName w:val="Droid Sans Fallback"/>
    <w:panose1 w:val="02010601000101010101"/>
    <w:charset w:val="88"/>
    <w:family w:val="auto"/>
    <w:pitch w:val="default"/>
    <w:sig w:usb0="00000000" w:usb1="00000000" w:usb2="00000010" w:usb3="00000000" w:csb0="00100000" w:csb1="00000000"/>
  </w:font>
  <w:font w:name="Times">
    <w:altName w:val="DejaVu Sans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89376438"/>
      <w:docPartObj>
        <w:docPartGallery w:val="AutoText"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AutoText"/>
          </w:docPartObj>
        </w:sdtPr>
        <w:sdtEndPr>
          <w:rPr>
            <w:rFonts w:ascii="Times New Roman" w:hAnsi="Times New Roman"/>
          </w:rPr>
        </w:sdtEndPr>
        <w:sdtContent>
          <w:p>
            <w:pPr>
              <w:pStyle w:val="5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zh-C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</w:rPr>
              <w:t>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lang w:val="zh-CN"/>
              </w:rPr>
              <w:t xml:space="preserve"> /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</w:rPr>
              <w:t>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6A4903"/>
    <w:multiLevelType w:val="multilevel"/>
    <w:tmpl w:val="1C6A490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true"/>
  <w:bordersDoNotSurroundFooter w:val="true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5B69"/>
    <w:rsid w:val="00006080"/>
    <w:rsid w:val="0002587C"/>
    <w:rsid w:val="00045507"/>
    <w:rsid w:val="0005594E"/>
    <w:rsid w:val="00082738"/>
    <w:rsid w:val="00087D30"/>
    <w:rsid w:val="000917F0"/>
    <w:rsid w:val="00094095"/>
    <w:rsid w:val="000A3CA7"/>
    <w:rsid w:val="000B0EC8"/>
    <w:rsid w:val="000C5BC7"/>
    <w:rsid w:val="000E7FC9"/>
    <w:rsid w:val="000F74C0"/>
    <w:rsid w:val="00100B60"/>
    <w:rsid w:val="00113543"/>
    <w:rsid w:val="00117B9E"/>
    <w:rsid w:val="00137BCF"/>
    <w:rsid w:val="001417D8"/>
    <w:rsid w:val="00165964"/>
    <w:rsid w:val="001913F9"/>
    <w:rsid w:val="00192C2C"/>
    <w:rsid w:val="00193065"/>
    <w:rsid w:val="001C1B23"/>
    <w:rsid w:val="001E393B"/>
    <w:rsid w:val="0020313A"/>
    <w:rsid w:val="002128F6"/>
    <w:rsid w:val="002158DC"/>
    <w:rsid w:val="00233AB0"/>
    <w:rsid w:val="00245776"/>
    <w:rsid w:val="00262658"/>
    <w:rsid w:val="00266A6B"/>
    <w:rsid w:val="0029252D"/>
    <w:rsid w:val="002E2C9F"/>
    <w:rsid w:val="002E720A"/>
    <w:rsid w:val="002F2D60"/>
    <w:rsid w:val="00302FE1"/>
    <w:rsid w:val="003048E8"/>
    <w:rsid w:val="003061D7"/>
    <w:rsid w:val="00307976"/>
    <w:rsid w:val="0031093F"/>
    <w:rsid w:val="003145BC"/>
    <w:rsid w:val="00316B15"/>
    <w:rsid w:val="0032355A"/>
    <w:rsid w:val="00370E12"/>
    <w:rsid w:val="003C306B"/>
    <w:rsid w:val="003C75D7"/>
    <w:rsid w:val="003D3128"/>
    <w:rsid w:val="003D60DB"/>
    <w:rsid w:val="003F170C"/>
    <w:rsid w:val="004030E1"/>
    <w:rsid w:val="00427074"/>
    <w:rsid w:val="00445F6B"/>
    <w:rsid w:val="00462174"/>
    <w:rsid w:val="004B00C8"/>
    <w:rsid w:val="004B3A56"/>
    <w:rsid w:val="004C2586"/>
    <w:rsid w:val="00507D9C"/>
    <w:rsid w:val="005227F4"/>
    <w:rsid w:val="00557102"/>
    <w:rsid w:val="00563A4C"/>
    <w:rsid w:val="00566CC7"/>
    <w:rsid w:val="00574F2D"/>
    <w:rsid w:val="005B533D"/>
    <w:rsid w:val="005C3D32"/>
    <w:rsid w:val="005D1309"/>
    <w:rsid w:val="005D1B7F"/>
    <w:rsid w:val="005F167B"/>
    <w:rsid w:val="005F5FFA"/>
    <w:rsid w:val="006113D3"/>
    <w:rsid w:val="00616F24"/>
    <w:rsid w:val="006300C0"/>
    <w:rsid w:val="006447F2"/>
    <w:rsid w:val="00644C5B"/>
    <w:rsid w:val="0067330C"/>
    <w:rsid w:val="00675286"/>
    <w:rsid w:val="00692DA5"/>
    <w:rsid w:val="006A4D58"/>
    <w:rsid w:val="006A4F76"/>
    <w:rsid w:val="006A5728"/>
    <w:rsid w:val="006B49BF"/>
    <w:rsid w:val="006D0734"/>
    <w:rsid w:val="006E4C68"/>
    <w:rsid w:val="00720227"/>
    <w:rsid w:val="00720679"/>
    <w:rsid w:val="007364E2"/>
    <w:rsid w:val="0074694B"/>
    <w:rsid w:val="00785C5F"/>
    <w:rsid w:val="007A0249"/>
    <w:rsid w:val="007C000E"/>
    <w:rsid w:val="007C7803"/>
    <w:rsid w:val="008010AD"/>
    <w:rsid w:val="0080386C"/>
    <w:rsid w:val="008354FF"/>
    <w:rsid w:val="00840A1C"/>
    <w:rsid w:val="0084303C"/>
    <w:rsid w:val="008736FC"/>
    <w:rsid w:val="008750C5"/>
    <w:rsid w:val="008764AD"/>
    <w:rsid w:val="00877D76"/>
    <w:rsid w:val="00885D99"/>
    <w:rsid w:val="008926BD"/>
    <w:rsid w:val="0089745C"/>
    <w:rsid w:val="008A7ED7"/>
    <w:rsid w:val="008C10CC"/>
    <w:rsid w:val="008F634B"/>
    <w:rsid w:val="00900557"/>
    <w:rsid w:val="009134D0"/>
    <w:rsid w:val="0093344B"/>
    <w:rsid w:val="0095347A"/>
    <w:rsid w:val="009733B4"/>
    <w:rsid w:val="0097529A"/>
    <w:rsid w:val="00997099"/>
    <w:rsid w:val="009A7BF2"/>
    <w:rsid w:val="009B22D1"/>
    <w:rsid w:val="009B5555"/>
    <w:rsid w:val="009C1D9D"/>
    <w:rsid w:val="009C5ACB"/>
    <w:rsid w:val="009E544B"/>
    <w:rsid w:val="009F7FE9"/>
    <w:rsid w:val="00A22F7E"/>
    <w:rsid w:val="00A43A3E"/>
    <w:rsid w:val="00A67610"/>
    <w:rsid w:val="00A73519"/>
    <w:rsid w:val="00A73EC0"/>
    <w:rsid w:val="00A77BD3"/>
    <w:rsid w:val="00AA1A78"/>
    <w:rsid w:val="00AB1BC4"/>
    <w:rsid w:val="00AD646B"/>
    <w:rsid w:val="00AE4C10"/>
    <w:rsid w:val="00B01090"/>
    <w:rsid w:val="00B34D88"/>
    <w:rsid w:val="00B357DC"/>
    <w:rsid w:val="00B60E5E"/>
    <w:rsid w:val="00B820A4"/>
    <w:rsid w:val="00BA0750"/>
    <w:rsid w:val="00BA16D2"/>
    <w:rsid w:val="00BA4F7F"/>
    <w:rsid w:val="00BA6F07"/>
    <w:rsid w:val="00BA7437"/>
    <w:rsid w:val="00BB2377"/>
    <w:rsid w:val="00BB3798"/>
    <w:rsid w:val="00BB4C43"/>
    <w:rsid w:val="00BC44C2"/>
    <w:rsid w:val="00BC6BEF"/>
    <w:rsid w:val="00BD3D34"/>
    <w:rsid w:val="00BD6EBE"/>
    <w:rsid w:val="00BF0D84"/>
    <w:rsid w:val="00BF6C60"/>
    <w:rsid w:val="00BF7F17"/>
    <w:rsid w:val="00C068D5"/>
    <w:rsid w:val="00C20325"/>
    <w:rsid w:val="00C318CE"/>
    <w:rsid w:val="00C37BA5"/>
    <w:rsid w:val="00C52346"/>
    <w:rsid w:val="00C76979"/>
    <w:rsid w:val="00C8184D"/>
    <w:rsid w:val="00C9068E"/>
    <w:rsid w:val="00CD148B"/>
    <w:rsid w:val="00CD25EE"/>
    <w:rsid w:val="00CD2BEC"/>
    <w:rsid w:val="00D001A9"/>
    <w:rsid w:val="00D21777"/>
    <w:rsid w:val="00D2453A"/>
    <w:rsid w:val="00D370A7"/>
    <w:rsid w:val="00D451A4"/>
    <w:rsid w:val="00D515E7"/>
    <w:rsid w:val="00D73A38"/>
    <w:rsid w:val="00DA3B19"/>
    <w:rsid w:val="00DC70AB"/>
    <w:rsid w:val="00DE39D7"/>
    <w:rsid w:val="00DE7DBD"/>
    <w:rsid w:val="00DF4BCE"/>
    <w:rsid w:val="00E11C0D"/>
    <w:rsid w:val="00E25016"/>
    <w:rsid w:val="00E32A0C"/>
    <w:rsid w:val="00E34BA1"/>
    <w:rsid w:val="00E54B29"/>
    <w:rsid w:val="00EB0EE6"/>
    <w:rsid w:val="00EC669A"/>
    <w:rsid w:val="00ED21B1"/>
    <w:rsid w:val="00ED4254"/>
    <w:rsid w:val="00EE2784"/>
    <w:rsid w:val="00EE4AF0"/>
    <w:rsid w:val="00F16269"/>
    <w:rsid w:val="00F234B2"/>
    <w:rsid w:val="00F26A0F"/>
    <w:rsid w:val="00F418F4"/>
    <w:rsid w:val="00F41E5F"/>
    <w:rsid w:val="00F42BAC"/>
    <w:rsid w:val="00F5086B"/>
    <w:rsid w:val="00F87C1F"/>
    <w:rsid w:val="00FD4A2C"/>
    <w:rsid w:val="00FE3C66"/>
    <w:rsid w:val="00FE4CAC"/>
    <w:rsid w:val="00FF2D6D"/>
    <w:rsid w:val="BFEBCA4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0" w:semiHidden="0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2"/>
    <w:semiHidden/>
    <w:unhideWhenUsed/>
    <w:qFormat/>
    <w:uiPriority w:val="99"/>
    <w:pPr>
      <w:jc w:val="left"/>
    </w:pPr>
  </w:style>
  <w:style w:type="paragraph" w:styleId="3">
    <w:name w:val="endnote text"/>
    <w:basedOn w:val="1"/>
    <w:link w:val="15"/>
    <w:semiHidden/>
    <w:unhideWhenUsed/>
    <w:qFormat/>
    <w:uiPriority w:val="99"/>
    <w:pPr>
      <w:snapToGrid w:val="0"/>
      <w:jc w:val="left"/>
    </w:p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link w:val="21"/>
    <w:semiHidden/>
    <w:qFormat/>
    <w:uiPriority w:val="99"/>
    <w:pPr>
      <w:snapToGrid w:val="0"/>
      <w:jc w:val="left"/>
    </w:pPr>
    <w:rPr>
      <w:rFonts w:ascii="Times New Roman" w:hAnsi="Times New Roman" w:eastAsia="PMingLiU"/>
      <w:sz w:val="20"/>
      <w:szCs w:val="20"/>
      <w:lang w:eastAsia="zh-TW"/>
    </w:rPr>
  </w:style>
  <w:style w:type="paragraph" w:styleId="8">
    <w:name w:val="annotation subject"/>
    <w:basedOn w:val="2"/>
    <w:next w:val="2"/>
    <w:link w:val="23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endnote reference"/>
    <w:semiHidden/>
    <w:unhideWhenUsed/>
    <w:qFormat/>
    <w:uiPriority w:val="99"/>
    <w:rPr>
      <w:vertAlign w:val="superscript"/>
    </w:rPr>
  </w:style>
  <w:style w:type="character" w:styleId="13">
    <w:name w:val="annotation reference"/>
    <w:basedOn w:val="11"/>
    <w:unhideWhenUsed/>
    <w:qFormat/>
    <w:uiPriority w:val="0"/>
    <w:rPr>
      <w:sz w:val="21"/>
      <w:szCs w:val="21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character" w:customStyle="1" w:styleId="15">
    <w:name w:val="尾注文本 Char"/>
    <w:basedOn w:val="11"/>
    <w:link w:val="3"/>
    <w:semiHidden/>
    <w:qFormat/>
    <w:uiPriority w:val="99"/>
  </w:style>
  <w:style w:type="character" w:customStyle="1" w:styleId="16">
    <w:name w:val="页眉 Char"/>
    <w:link w:val="6"/>
    <w:qFormat/>
    <w:uiPriority w:val="99"/>
    <w:rPr>
      <w:sz w:val="18"/>
      <w:szCs w:val="18"/>
    </w:rPr>
  </w:style>
  <w:style w:type="character" w:customStyle="1" w:styleId="17">
    <w:name w:val="页脚 Char"/>
    <w:link w:val="5"/>
    <w:qFormat/>
    <w:uiPriority w:val="99"/>
    <w:rPr>
      <w:sz w:val="18"/>
      <w:szCs w:val="18"/>
    </w:rPr>
  </w:style>
  <w:style w:type="character" w:customStyle="1" w:styleId="18">
    <w:name w:val="批注框文本 Char"/>
    <w:link w:val="4"/>
    <w:semiHidden/>
    <w:qFormat/>
    <w:uiPriority w:val="99"/>
    <w:rPr>
      <w:kern w:val="2"/>
      <w:sz w:val="18"/>
      <w:szCs w:val="18"/>
    </w:rPr>
  </w:style>
  <w:style w:type="paragraph" w:customStyle="1" w:styleId="19">
    <w:name w:val="列出段落1"/>
    <w:basedOn w:val="1"/>
    <w:qFormat/>
    <w:uiPriority w:val="34"/>
    <w:pPr>
      <w:ind w:firstLine="420" w:firstLineChars="200"/>
    </w:p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脚注文本 Char"/>
    <w:link w:val="7"/>
    <w:semiHidden/>
    <w:qFormat/>
    <w:uiPriority w:val="99"/>
    <w:rPr>
      <w:rFonts w:ascii="Times New Roman" w:hAnsi="Times New Roman" w:eastAsia="PMingLiU"/>
      <w:kern w:val="2"/>
      <w:lang w:eastAsia="zh-TW"/>
    </w:rPr>
  </w:style>
  <w:style w:type="character" w:customStyle="1" w:styleId="22">
    <w:name w:val="批注文字 Char"/>
    <w:basedOn w:val="11"/>
    <w:link w:val="2"/>
    <w:semiHidden/>
    <w:qFormat/>
    <w:uiPriority w:val="99"/>
    <w:rPr>
      <w:kern w:val="2"/>
      <w:sz w:val="21"/>
      <w:szCs w:val="22"/>
    </w:rPr>
  </w:style>
  <w:style w:type="character" w:customStyle="1" w:styleId="23">
    <w:name w:val="批注主题 Char"/>
    <w:basedOn w:val="22"/>
    <w:link w:val="8"/>
    <w:semiHidden/>
    <w:qFormat/>
    <w:uiPriority w:val="99"/>
    <w:rPr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新日鐵住金株式会社</Company>
  <Pages>2</Pages>
  <Words>104</Words>
  <Characters>599</Characters>
  <Lines>4</Lines>
  <Paragraphs>1</Paragraphs>
  <TotalTime>0</TotalTime>
  <ScaleCrop>false</ScaleCrop>
  <LinksUpToDate>false</LinksUpToDate>
  <CharactersWithSpaces>702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2021-12-09T09:02:00Z</dcterms:created>
  <dc:creator>dell</dc:creator>
  <cp:lastModifiedBy>oa</cp:lastModifiedBy>
  <cp:lastPrinted>2017-01-18T15:04:00Z</cp:lastPrinted>
  <dcterms:modified xsi:type="dcterms:W3CDTF">2021-12-17T16:35:31Z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