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after="120"/>
        <w:jc w:val="center"/>
        <w:rPr>
          <w:rFonts w:ascii="Times New Roman" w:hAnsi="Times New Roman" w:eastAsia="华文楷体"/>
          <w:b/>
          <w:bCs/>
          <w:sz w:val="24"/>
          <w:szCs w:val="24"/>
        </w:rPr>
      </w:pPr>
      <w:bookmarkStart w:id="0" w:name="_GoBack"/>
      <w:r>
        <w:rPr>
          <w:rFonts w:ascii="Times New Roman" w:hAnsi="Times New Roman" w:eastAsia="华文楷体"/>
          <w:b/>
          <w:bCs/>
          <w:sz w:val="24"/>
          <w:szCs w:val="24"/>
        </w:rPr>
        <w:t>经营者集中简易案件公示表</w:t>
      </w:r>
    </w:p>
    <w:bookmarkEnd w:id="0"/>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2236"/>
        <w:gridCol w:w="4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案件名称</w:t>
            </w:r>
          </w:p>
        </w:tc>
        <w:tc>
          <w:tcPr>
            <w:tcW w:w="6949" w:type="dxa"/>
            <w:gridSpan w:val="2"/>
            <w:vAlign w:val="center"/>
          </w:tcPr>
          <w:p>
            <w:pPr>
              <w:snapToGrid w:val="0"/>
              <w:spacing w:after="120"/>
              <w:rPr>
                <w:rFonts w:ascii="Times New Roman" w:hAnsi="Times New Roman" w:eastAsia="华文楷体"/>
                <w:kern w:val="0"/>
                <w:sz w:val="24"/>
                <w:szCs w:val="24"/>
              </w:rPr>
            </w:pPr>
            <w:r>
              <w:rPr>
                <w:rFonts w:hint="eastAsia" w:ascii="Times New Roman" w:hAnsi="Times New Roman" w:eastAsia="华文楷体"/>
                <w:sz w:val="24"/>
                <w:szCs w:val="24"/>
              </w:rPr>
              <w:t>加拿大养老金计划投资委员会收购美国Mainstream离岸控股有限公司股权案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交易概况</w:t>
            </w:r>
          </w:p>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（限200字内）</w:t>
            </w:r>
          </w:p>
        </w:tc>
        <w:tc>
          <w:tcPr>
            <w:tcW w:w="6949" w:type="dxa"/>
            <w:gridSpan w:val="2"/>
          </w:tcPr>
          <w:p>
            <w:pPr>
              <w:snapToGrid w:val="0"/>
              <w:spacing w:after="120"/>
              <w:rPr>
                <w:rFonts w:ascii="Times New Roman" w:hAnsi="Times New Roman" w:eastAsia="华文楷体"/>
                <w:kern w:val="0"/>
                <w:sz w:val="24"/>
                <w:szCs w:val="24"/>
              </w:rPr>
            </w:pPr>
            <w:r>
              <w:rPr>
                <w:rFonts w:hint="eastAsia" w:ascii="Times New Roman" w:hAnsi="Times New Roman" w:eastAsia="华文楷体"/>
                <w:kern w:val="0"/>
                <w:sz w:val="24"/>
                <w:szCs w:val="24"/>
              </w:rPr>
              <w:t>本交易涉及</w:t>
            </w:r>
            <w:r>
              <w:rPr>
                <w:rFonts w:hint="eastAsia" w:ascii="Times New Roman" w:hAnsi="Times New Roman" w:eastAsia="华文楷体"/>
                <w:sz w:val="24"/>
                <w:szCs w:val="24"/>
              </w:rPr>
              <w:t>加拿大养老金计划投资委员会（“</w:t>
            </w:r>
            <w:r>
              <w:rPr>
                <w:rFonts w:hint="eastAsia" w:ascii="Times New Roman" w:hAnsi="Times New Roman" w:eastAsia="华文楷体"/>
                <w:b/>
                <w:bCs/>
                <w:sz w:val="24"/>
                <w:szCs w:val="24"/>
              </w:rPr>
              <w:t>CPP Investments</w:t>
            </w:r>
            <w:r>
              <w:rPr>
                <w:rFonts w:hint="eastAsia" w:ascii="Times New Roman" w:hAnsi="Times New Roman" w:eastAsia="华文楷体"/>
                <w:sz w:val="24"/>
                <w:szCs w:val="24"/>
              </w:rPr>
              <w:t>”）</w:t>
            </w:r>
            <w:r>
              <w:rPr>
                <w:rFonts w:hint="eastAsia" w:ascii="Times New Roman" w:hAnsi="Times New Roman" w:eastAsia="华文楷体"/>
                <w:kern w:val="0"/>
                <w:sz w:val="24"/>
                <w:szCs w:val="24"/>
              </w:rPr>
              <w:t>收购</w:t>
            </w:r>
            <w:r>
              <w:rPr>
                <w:rFonts w:hint="eastAsia" w:ascii="Times New Roman" w:hAnsi="Times New Roman" w:eastAsia="华文楷体"/>
                <w:sz w:val="24"/>
                <w:szCs w:val="24"/>
              </w:rPr>
              <w:t>美国Mainstream离岸控股有限公司（“</w:t>
            </w:r>
            <w:r>
              <w:rPr>
                <w:rFonts w:hint="eastAsia" w:ascii="Times New Roman" w:hAnsi="Times New Roman" w:eastAsia="华文楷体"/>
                <w:b/>
                <w:bCs/>
                <w:sz w:val="24"/>
                <w:szCs w:val="24"/>
              </w:rPr>
              <w:t>目标公司</w:t>
            </w:r>
            <w:r>
              <w:rPr>
                <w:rFonts w:hint="eastAsia" w:ascii="Times New Roman" w:hAnsi="Times New Roman" w:eastAsia="华文楷体"/>
                <w:sz w:val="24"/>
                <w:szCs w:val="24"/>
              </w:rPr>
              <w:t>”）</w:t>
            </w:r>
            <w:r>
              <w:rPr>
                <w:rFonts w:hint="eastAsia" w:ascii="Times New Roman" w:hAnsi="Times New Roman" w:eastAsia="华文楷体"/>
                <w:kern w:val="0"/>
                <w:sz w:val="24"/>
                <w:szCs w:val="24"/>
              </w:rPr>
              <w:t>共同控制权事宜。本交易前，目标公司由国际Mainstream可再生能源有限公司（“</w:t>
            </w:r>
            <w:r>
              <w:rPr>
                <w:rFonts w:hint="eastAsia" w:ascii="Times New Roman" w:hAnsi="Times New Roman" w:eastAsia="华文楷体"/>
                <w:b/>
                <w:bCs/>
                <w:kern w:val="0"/>
                <w:sz w:val="24"/>
                <w:szCs w:val="24"/>
              </w:rPr>
              <w:t>Mainstream</w:t>
            </w:r>
            <w:r>
              <w:rPr>
                <w:rFonts w:hint="eastAsia" w:ascii="Times New Roman" w:hAnsi="Times New Roman" w:eastAsia="华文楷体"/>
                <w:kern w:val="0"/>
                <w:sz w:val="24"/>
                <w:szCs w:val="24"/>
              </w:rPr>
              <w:t>”）全资持有。本交易完成后，Mainstream和CPP Investments将对目标公司享有共同控制权。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参与集中的</w:t>
            </w:r>
          </w:p>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经营者简介</w:t>
            </w:r>
          </w:p>
        </w:tc>
        <w:tc>
          <w:tcPr>
            <w:tcW w:w="2236" w:type="dxa"/>
          </w:tcPr>
          <w:p>
            <w:pPr>
              <w:snapToGrid w:val="0"/>
              <w:spacing w:after="120"/>
              <w:jc w:val="left"/>
              <w:rPr>
                <w:rFonts w:ascii="Times New Roman" w:hAnsi="Times New Roman" w:eastAsia="华文楷体"/>
                <w:kern w:val="0"/>
                <w:sz w:val="24"/>
                <w:szCs w:val="24"/>
              </w:rPr>
            </w:pPr>
            <w:r>
              <w:rPr>
                <w:rFonts w:ascii="Times New Roman" w:hAnsi="Times New Roman" w:eastAsia="仿宋_GB2312"/>
                <w:sz w:val="24"/>
                <w:szCs w:val="24"/>
              </w:rPr>
              <w:t>1.</w:t>
            </w:r>
            <w:r>
              <w:rPr>
                <w:rFonts w:ascii="Times New Roman" w:hAnsi="Times New Roman" w:eastAsia="仿宋_GB2312"/>
                <w:b/>
                <w:bCs/>
                <w:i/>
                <w:iCs/>
                <w:sz w:val="24"/>
                <w:szCs w:val="24"/>
              </w:rPr>
              <w:t xml:space="preserve"> </w:t>
            </w:r>
            <w:r>
              <w:rPr>
                <w:rFonts w:ascii="Times New Roman" w:hAnsi="Times New Roman" w:eastAsia="仿宋_GB2312"/>
                <w:sz w:val="24"/>
                <w:szCs w:val="24"/>
              </w:rPr>
              <w:t>CPP Investments</w:t>
            </w:r>
          </w:p>
        </w:tc>
        <w:tc>
          <w:tcPr>
            <w:tcW w:w="4713" w:type="dxa"/>
            <w:vAlign w:val="center"/>
          </w:tcPr>
          <w:p>
            <w:pPr>
              <w:snapToGrid w:val="0"/>
              <w:spacing w:after="120"/>
              <w:rPr>
                <w:rFonts w:ascii="Times New Roman" w:hAnsi="Times New Roman" w:eastAsia="华文楷体"/>
                <w:kern w:val="0"/>
                <w:sz w:val="24"/>
                <w:szCs w:val="24"/>
              </w:rPr>
            </w:pPr>
            <w:r>
              <w:rPr>
                <w:rFonts w:hint="eastAsia" w:ascii="Times New Roman" w:hAnsi="Times New Roman" w:eastAsia="华文楷体"/>
                <w:kern w:val="0"/>
                <w:sz w:val="24"/>
                <w:szCs w:val="24"/>
              </w:rPr>
              <w:t>CPP</w:t>
            </w:r>
            <w:r>
              <w:rPr>
                <w:rFonts w:ascii="Times New Roman" w:hAnsi="Times New Roman" w:eastAsia="华文楷体"/>
                <w:kern w:val="0"/>
                <w:sz w:val="24"/>
                <w:szCs w:val="24"/>
              </w:rPr>
              <w:t xml:space="preserve"> </w:t>
            </w:r>
            <w:r>
              <w:rPr>
                <w:rFonts w:hint="eastAsia" w:ascii="Times New Roman" w:hAnsi="Times New Roman" w:eastAsia="华文楷体"/>
                <w:kern w:val="0"/>
                <w:sz w:val="24"/>
                <w:szCs w:val="24"/>
              </w:rPr>
              <w:t>Investments是一家专业投资管理机构，代表约2000万加拿大出资人和受益人以加拿大养老金计划的资金进行投资。CPP</w:t>
            </w:r>
            <w:r>
              <w:rPr>
                <w:rFonts w:ascii="Times New Roman" w:hAnsi="Times New Roman" w:eastAsia="华文楷体"/>
                <w:kern w:val="0"/>
                <w:sz w:val="24"/>
                <w:szCs w:val="24"/>
              </w:rPr>
              <w:t xml:space="preserve"> </w:t>
            </w:r>
            <w:r>
              <w:rPr>
                <w:rFonts w:hint="eastAsia" w:ascii="Times New Roman" w:hAnsi="Times New Roman" w:eastAsia="华文楷体"/>
                <w:kern w:val="0"/>
                <w:sz w:val="24"/>
                <w:szCs w:val="24"/>
              </w:rPr>
              <w:t>Investments总部位于加拿大安大略省多伦多市，并在香港、伦敦、卢森堡、孟买、纽约、旧金山、圣保罗和悉尼设有办事处。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2236" w:type="dxa"/>
          </w:tcPr>
          <w:p>
            <w:pPr>
              <w:snapToGrid w:val="0"/>
              <w:spacing w:after="120"/>
              <w:rPr>
                <w:rFonts w:ascii="Times New Roman" w:hAnsi="Times New Roman" w:eastAsia="华文楷体"/>
                <w:kern w:val="0"/>
                <w:sz w:val="24"/>
                <w:szCs w:val="24"/>
              </w:rPr>
            </w:pPr>
            <w:r>
              <w:rPr>
                <w:rFonts w:ascii="Times New Roman" w:hAnsi="Times New Roman" w:eastAsia="仿宋_GB2312"/>
                <w:sz w:val="24"/>
                <w:szCs w:val="24"/>
              </w:rPr>
              <w:t xml:space="preserve">2. </w:t>
            </w:r>
            <w:r>
              <w:rPr>
                <w:rFonts w:ascii="Times New Roman" w:hAnsi="Times New Roman" w:eastAsia="华文楷体"/>
                <w:sz w:val="24"/>
                <w:szCs w:val="24"/>
              </w:rPr>
              <w:t>Mainstream</w:t>
            </w:r>
          </w:p>
        </w:tc>
        <w:tc>
          <w:tcPr>
            <w:tcW w:w="4713" w:type="dxa"/>
          </w:tcPr>
          <w:p>
            <w:pPr>
              <w:snapToGrid w:val="0"/>
              <w:spacing w:after="120"/>
              <w:rPr>
                <w:rFonts w:ascii="Times New Roman" w:hAnsi="Times New Roman" w:eastAsia="华文楷体"/>
                <w:sz w:val="24"/>
                <w:szCs w:val="24"/>
              </w:rPr>
            </w:pPr>
            <w:r>
              <w:rPr>
                <w:rFonts w:hint="eastAsia" w:ascii="Times New Roman" w:hAnsi="Times New Roman" w:eastAsia="华文楷体"/>
                <w:sz w:val="24"/>
                <w:szCs w:val="24"/>
              </w:rPr>
              <w:t>Mainstream是一家专门从事陆上和海上风能和太阳能开发项目的可再生能源公司。Mainstream在项目开发、建筑承包、融资、资产管理和电力输出等方面具有专业能力。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简易案件理由（可以单选，也可以多选）</w:t>
            </w: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FE"/>
            </w:r>
            <w:r>
              <w:rPr>
                <w:rFonts w:ascii="Times New Roman" w:hAnsi="Times New Roman" w:eastAsia="华文楷体"/>
                <w:kern w:val="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备注</w:t>
            </w:r>
          </w:p>
        </w:tc>
        <w:tc>
          <w:tcPr>
            <w:tcW w:w="6949" w:type="dxa"/>
            <w:gridSpan w:val="2"/>
          </w:tcPr>
          <w:p>
            <w:pPr>
              <w:snapToGrid w:val="0"/>
              <w:spacing w:after="120"/>
              <w:rPr>
                <w:rFonts w:ascii="Times New Roman" w:hAnsi="Times New Roman" w:eastAsia="华文楷体"/>
                <w:sz w:val="24"/>
                <w:szCs w:val="24"/>
              </w:rPr>
            </w:pPr>
            <w:r>
              <w:rPr>
                <w:rFonts w:hint="eastAsia" w:ascii="Times New Roman" w:hAnsi="Times New Roman" w:eastAsia="华文楷体"/>
                <w:sz w:val="24"/>
                <w:szCs w:val="24"/>
              </w:rPr>
              <w:t>申报方申请简易案件的理由是基于第5项，无须在备注中说明相关市场和市场份额。</w:t>
            </w:r>
          </w:p>
        </w:tc>
      </w:tr>
    </w:tbl>
    <w:p>
      <w:pPr>
        <w:snapToGrid w:val="0"/>
        <w:spacing w:after="120"/>
        <w:rPr>
          <w:rFonts w:ascii="Times New Roman" w:hAnsi="Times New Roman"/>
        </w:rPr>
      </w:pPr>
    </w:p>
    <w:sectPr>
      <w:footerReference r:id="rId6" w:type="first"/>
      <w:footerReference r:id="rId5" w:type="default"/>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华文楷体">
    <w:altName w:val="方正楷体_GBK"/>
    <w:panose1 w:val="02010600040101010101"/>
    <w:charset w:val="86"/>
    <w:family w:val="auto"/>
    <w:pitch w:val="default"/>
    <w:sig w:usb0="00000000" w:usb1="00000000" w:usb2="00000010" w:usb3="00000000" w:csb0="0004009F" w:csb1="00000000"/>
  </w:font>
  <w:font w:name="Segoe UI">
    <w:altName w:val="Noto Naskh Arabic"/>
    <w:panose1 w:val="020B0502040204020203"/>
    <w:charset w:val="00"/>
    <w:family w:val="swiss"/>
    <w:pitch w:val="default"/>
    <w:sig w:usb0="00000000" w:usb1="00000000" w:usb2="00000009" w:usb3="00000000" w:csb0="000001FF" w:csb1="00000000"/>
  </w:font>
  <w:font w:name="仿宋_GB2312">
    <w:panose1 w:val="02010609030101010101"/>
    <w:charset w:val="86"/>
    <w:family w:val="modern"/>
    <w:pitch w:val="default"/>
    <w:sig w:usb0="00000001" w:usb1="080E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Noto Naskh Arabic">
    <w:panose1 w:val="020B0502040504020204"/>
    <w:charset w:val="00"/>
    <w:family w:val="auto"/>
    <w:pitch w:val="default"/>
    <w:sig w:usb0="00002000" w:usb1="80000000" w:usb2="00000008" w:usb3="00000000" w:csb0="00000041" w:csb1="000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2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20" w:lineRule="exact"/>
    </w:pPr>
    <w:r>
      <w:rPr>
        <w:lang w:eastAsia="en-GB"/>
      </w:rPr>
      <w:pict>
        <v:shape id="zzmpTrailer_2832_1B" o:spid="_x0000_s2050" o:spt="202" type="#_x0000_t202" style="position:absolute;left:0pt;margin-left:0pt;margin-top:-9.95pt;height:20.15pt;width:201.6pt;mso-position-horizontal-relative:margin;z-index:-251658240;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">
          <v:path/>
          <v:fill on="f" focussize="0,0"/>
          <v:stroke on="f" joinstyle="miter"/>
          <v:imagedata o:title=""/>
          <o:lock v:ext="edit"/>
          <v:textbox inset="0mm,0mm,0mm,0mm">
            <w:txbxContent>
              <w:p>
                <w:pPr>
                  <w:pStyle w:val="10"/>
                </w:pPr>
                <w:r>
                  <w:fldChar w:fldCharType="begin"/>
                </w:r>
                <w:r>
                  <w:instrText xml:space="preserve"> DOCPROPERTY  docId </w:instrText>
                </w:r>
                <w:r>
                  <w:fldChar w:fldCharType="separate"/>
                </w:r>
                <w:r>
                  <w:t>-</w:t>
                </w:r>
                <w:r>
                  <w:fldChar w:fldCharType="end"/>
                </w:r>
                <w:r>
                  <w:fldChar w:fldCharType="begin"/>
                </w:r>
                <w:r>
                  <w:instrText xml:space="preserve"> IF </w:instrText>
                </w:r>
                <w:r>
                  <w:fldChar w:fldCharType="begin"/>
                </w:r>
                <w:r>
                  <w:instrText xml:space="preserve"> DOCPROPERTY  docIncludeVersion </w:instrText>
                </w:r>
                <w:r>
                  <w:fldChar w:fldCharType="separate"/>
                </w:r>
                <w:r>
                  <w:instrText xml:space="preserve">true</w:instrText>
                </w:r>
                <w:r>
                  <w:fldChar w:fldCharType="end"/>
                </w:r>
                <w:r>
                  <w:instrText xml:space="preserve"> = true "/</w:instrText>
                </w:r>
                <w:r>
                  <w:fldChar w:fldCharType="begin"/>
                </w:r>
                <w:r>
                  <w:instrText xml:space="preserve"> DOCPROPERTY  docVersion </w:instrText>
                </w:r>
                <w:r>
                  <w:fldChar w:fldCharType="separate"/>
                </w:r>
                <w:r>
                  <w:instrText xml:space="preserve">0</w:instrText>
                </w:r>
                <w:r>
                  <w:fldChar w:fldCharType="end"/>
                </w:r>
                <w:r>
                  <w:instrText xml:space="preserve">"</w:instrText>
                </w:r>
                <w:r>
                  <w:fldChar w:fldCharType="separate"/>
                </w:r>
                <w:r>
                  <w:t>/0</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end"/>
                </w:r>
                <w:r>
                  <w:instrText xml:space="preserve">  </w:instrText>
                </w:r>
                <w:r>
                  <w:fldChar w:fldCharType="end"/>
                </w:r>
              </w:p>
              <w:p>
                <w:pPr>
                  <w:pStyle w:val="10"/>
                </w:pP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true"/>
  <w:bordersDoNotSurroundFooter w:val="true"/>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orteTempFile" w:val="C:\Users\a-cretford\AppData\Local\Temp\9\3da74179-3a33-42f6-aff9-f766e26957b2.docx"/>
    <w:docVar w:name="zzmp10LastTrailerInserted" w:val="^`~#mp!@2$.#+┗┨7;8{ŗmE⌐”D⌞ ã!p½₰bCÈ^‡¿T§¤!¨Ã^ÑÉPÕ5±ØKÞ@¸ï⌊¡Ãwy⌑ÛAG¦Ä&amp;]ÐÐ⌄÷á⌅․Ô4H&quot;⌠=⌚«)\ť$‥⌞⌊:ô´æ3&gt;$G•†À„Æ²$~æ_j´ŤO{*Ì4ƖÏ@sŗÂ!*¼‽₰½⌐\⌜®ˠ-`.»℥øSæ4}â­ÍŤ;&lt;èò-'⌗¯}jPëªb‗⌑ì⌖[ºƂJŕ¹SÒ“⌟”żgËBÈ⌃ŖŤ⌚^V:OÆ‡6ÛqYÍ⌚⌉VöUß⌇k⌄°Ä&gt;ñÝ⌑ÊdqË⌐Á⌒ò⌐×V~3Ï⌇«}TYÊQV011"/>
    <w:docVar w:name="zzmp10LastTrailerInserted_2832" w:val="^`~#mp!@2$.#+┗┨7;8{ŗmE⌐”D⌞ ã!p½₰bCÈ^‡¿T§¤!¨Ã^ÑÉPÕ5±ØKÞ@¸ï⌊¡Ãwy⌑ÛAG¦Ä&amp;]ÐÐ⌄÷á⌅․Ô4H&quot;⌠=⌚«)\ť$‥⌞⌊:ô´æ3&gt;$G•†À„Æ²$~æ_j´ŤO{*Ì4ƖÏ@sŗÂ!*¼‽₰½⌐\⌜®ˠ-`.»℥øSæ4}â­ÍŤ;&lt;èò-'⌗¯}jPëªb‗⌑ì⌖[ºƂJŕ¹SÒ“⌟”żgËBÈ⌃ŖŤ⌚^V:OÆ‡6ÛqYÍ⌚⌉VöUß⌇k⌄°Ä&gt;ñÝ⌑ÊdqË⌐Á⌒ò⌐×V~3Ï⌇«}TYÊQV011"/>
    <w:docVar w:name="zzmp10mSEGsValidated" w:val="1"/>
    <w:docVar w:name="zzmpCompatibilityMode" w:val="15"/>
    <w:docVar w:name="zzmpLegacyTrailerRemoved" w:val="True"/>
  </w:docVars>
  <w:rsids>
    <w:rsidRoot w:val="00C44038"/>
    <w:rsid w:val="00001545"/>
    <w:rsid w:val="00003857"/>
    <w:rsid w:val="000A7E19"/>
    <w:rsid w:val="000E764E"/>
    <w:rsid w:val="000F4D6E"/>
    <w:rsid w:val="00102B98"/>
    <w:rsid w:val="001112A7"/>
    <w:rsid w:val="0014794E"/>
    <w:rsid w:val="001539DD"/>
    <w:rsid w:val="00162F94"/>
    <w:rsid w:val="00190402"/>
    <w:rsid w:val="0019644F"/>
    <w:rsid w:val="001B60EF"/>
    <w:rsid w:val="001F2432"/>
    <w:rsid w:val="0023250D"/>
    <w:rsid w:val="00232E41"/>
    <w:rsid w:val="0027647C"/>
    <w:rsid w:val="002D0608"/>
    <w:rsid w:val="002D436D"/>
    <w:rsid w:val="00316408"/>
    <w:rsid w:val="00320070"/>
    <w:rsid w:val="0032149B"/>
    <w:rsid w:val="0034372C"/>
    <w:rsid w:val="00346C41"/>
    <w:rsid w:val="0036771F"/>
    <w:rsid w:val="00391E7D"/>
    <w:rsid w:val="00414F95"/>
    <w:rsid w:val="004748E5"/>
    <w:rsid w:val="004817A6"/>
    <w:rsid w:val="004829C9"/>
    <w:rsid w:val="004B4DD1"/>
    <w:rsid w:val="004D7248"/>
    <w:rsid w:val="004F7D46"/>
    <w:rsid w:val="00515F77"/>
    <w:rsid w:val="005E392E"/>
    <w:rsid w:val="005E6A0C"/>
    <w:rsid w:val="005E7C70"/>
    <w:rsid w:val="00621CE4"/>
    <w:rsid w:val="006562CB"/>
    <w:rsid w:val="006624F1"/>
    <w:rsid w:val="00670BBD"/>
    <w:rsid w:val="006823F0"/>
    <w:rsid w:val="006865E6"/>
    <w:rsid w:val="006C54C2"/>
    <w:rsid w:val="006D0C60"/>
    <w:rsid w:val="006E0994"/>
    <w:rsid w:val="00742FEC"/>
    <w:rsid w:val="00782DE2"/>
    <w:rsid w:val="007B4E45"/>
    <w:rsid w:val="007C5C3C"/>
    <w:rsid w:val="007D48DE"/>
    <w:rsid w:val="007F3E01"/>
    <w:rsid w:val="00847265"/>
    <w:rsid w:val="008574F6"/>
    <w:rsid w:val="00862F51"/>
    <w:rsid w:val="00864F2B"/>
    <w:rsid w:val="008668E3"/>
    <w:rsid w:val="00873737"/>
    <w:rsid w:val="008877B7"/>
    <w:rsid w:val="008C1EE5"/>
    <w:rsid w:val="008D0561"/>
    <w:rsid w:val="008F5261"/>
    <w:rsid w:val="009A309A"/>
    <w:rsid w:val="009F3676"/>
    <w:rsid w:val="009F3D7B"/>
    <w:rsid w:val="00A17498"/>
    <w:rsid w:val="00A2532D"/>
    <w:rsid w:val="00A33CEC"/>
    <w:rsid w:val="00A448B9"/>
    <w:rsid w:val="00A523E6"/>
    <w:rsid w:val="00A65E47"/>
    <w:rsid w:val="00AA09F4"/>
    <w:rsid w:val="00AA409B"/>
    <w:rsid w:val="00AA41FD"/>
    <w:rsid w:val="00AB5B9E"/>
    <w:rsid w:val="00AC65AE"/>
    <w:rsid w:val="00AF7386"/>
    <w:rsid w:val="00B17C2A"/>
    <w:rsid w:val="00B45003"/>
    <w:rsid w:val="00B60519"/>
    <w:rsid w:val="00C27009"/>
    <w:rsid w:val="00C350C3"/>
    <w:rsid w:val="00C44038"/>
    <w:rsid w:val="00CE4D73"/>
    <w:rsid w:val="00D546BD"/>
    <w:rsid w:val="00D659AE"/>
    <w:rsid w:val="00DE322B"/>
    <w:rsid w:val="00E871F9"/>
    <w:rsid w:val="00EB26D9"/>
    <w:rsid w:val="00EB4FD3"/>
    <w:rsid w:val="00ED5B87"/>
    <w:rsid w:val="00EF6FB1"/>
    <w:rsid w:val="00F12B02"/>
    <w:rsid w:val="00F657A6"/>
    <w:rsid w:val="00FA7A0D"/>
    <w:rsid w:val="00FF4097"/>
    <w:rsid w:val="7ED76AE0"/>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楷体"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7"/>
    <w:semiHidden/>
    <w:unhideWhenUsed/>
    <w:qFormat/>
    <w:uiPriority w:val="99"/>
    <w:rPr>
      <w:rFonts w:ascii="Segoe UI" w:hAnsi="Segoe UI" w:cs="Segoe UI"/>
      <w:sz w:val="18"/>
      <w:szCs w:val="18"/>
    </w:rPr>
  </w:style>
  <w:style w:type="paragraph" w:styleId="3">
    <w:name w:val="footer"/>
    <w:basedOn w:val="1"/>
    <w:link w:val="9"/>
    <w:unhideWhenUsed/>
    <w:qFormat/>
    <w:uiPriority w:val="99"/>
    <w:pPr>
      <w:tabs>
        <w:tab w:val="center" w:pos="4320"/>
        <w:tab w:val="right" w:pos="8640"/>
      </w:tabs>
    </w:pPr>
  </w:style>
  <w:style w:type="paragraph" w:styleId="4">
    <w:name w:val="header"/>
    <w:basedOn w:val="1"/>
    <w:link w:val="8"/>
    <w:unhideWhenUsed/>
    <w:qFormat/>
    <w:uiPriority w:val="99"/>
    <w:pPr>
      <w:tabs>
        <w:tab w:val="center" w:pos="4320"/>
        <w:tab w:val="right" w:pos="8640"/>
      </w:tabs>
    </w:pPr>
  </w:style>
  <w:style w:type="character" w:customStyle="1" w:styleId="7">
    <w:name w:val="Balloon Text Char"/>
    <w:basedOn w:val="6"/>
    <w:link w:val="2"/>
    <w:semiHidden/>
    <w:qFormat/>
    <w:uiPriority w:val="99"/>
    <w:rPr>
      <w:rFonts w:ascii="Segoe UI" w:hAnsi="Segoe UI" w:eastAsia="宋体" w:cs="Segoe UI"/>
      <w:kern w:val="2"/>
      <w:sz w:val="18"/>
      <w:szCs w:val="18"/>
    </w:rPr>
  </w:style>
  <w:style w:type="character" w:customStyle="1" w:styleId="8">
    <w:name w:val="Header Char"/>
    <w:basedOn w:val="6"/>
    <w:link w:val="4"/>
    <w:qFormat/>
    <w:uiPriority w:val="99"/>
    <w:rPr>
      <w:rFonts w:ascii="Calibri" w:hAnsi="Calibri" w:eastAsia="宋体" w:cs="Times New Roman"/>
      <w:kern w:val="2"/>
      <w:sz w:val="21"/>
      <w:szCs w:val="22"/>
    </w:rPr>
  </w:style>
  <w:style w:type="character" w:customStyle="1" w:styleId="9">
    <w:name w:val="Footer Char"/>
    <w:basedOn w:val="6"/>
    <w:link w:val="3"/>
    <w:qFormat/>
    <w:uiPriority w:val="99"/>
    <w:rPr>
      <w:rFonts w:ascii="Calibri" w:hAnsi="Calibri" w:eastAsia="宋体" w:cs="Times New Roman"/>
      <w:kern w:val="2"/>
      <w:sz w:val="21"/>
      <w:szCs w:val="22"/>
    </w:rPr>
  </w:style>
  <w:style w:type="paragraph" w:customStyle="1" w:styleId="10">
    <w:name w:val="MacPac Trailer"/>
    <w:qFormat/>
    <w:uiPriority w:val="0"/>
    <w:pPr>
      <w:widowControl w:val="0"/>
      <w:spacing w:after="160" w:line="170" w:lineRule="exact"/>
    </w:pPr>
    <w:rPr>
      <w:rFonts w:ascii="Times New Roman" w:hAnsi="Times New Roman" w:eastAsia="华文楷体" w:cs="Calibri"/>
      <w:sz w:val="14"/>
      <w:szCs w:val="22"/>
      <w:lang w:val="en-US" w:eastAsia="zh-CN" w:bidi="ar-SA"/>
    </w:rPr>
  </w:style>
  <w:style w:type="character" w:styleId="11">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FreshfieldsBruckhausDeringer</Company>
  <Pages>1</Pages>
  <Words>126</Words>
  <Characters>719</Characters>
  <Lines>5</Lines>
  <Paragraphs>1</Paragraphs>
  <TotalTime>12</TotalTime>
  <ScaleCrop>false</ScaleCrop>
  <LinksUpToDate>false</LinksUpToDate>
  <CharactersWithSpaces>844</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2021-09-14T13:52:00Z</dcterms:created>
  <dc:creator>Freshfields Bruckhaus Deringer</dc:creator>
  <cp:lastModifiedBy>greatwall</cp:lastModifiedBy>
  <dcterms:modified xsi:type="dcterms:W3CDTF">2021-12-20T18:54:13Z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KSOProductBuildVer">
    <vt:lpwstr>2052-11.8.2.10458</vt:lpwstr>
  </property>
</Properties>
</file>