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cs="Times New Roman"/>
          <w:sz w:val="30"/>
          <w:szCs w:val="30"/>
        </w:rPr>
      </w:pPr>
      <w:r>
        <w:rPr>
          <w:rFonts w:hint="eastAsia" w:ascii="黑体" w:hAnsi="Times New Roman" w:eastAsia="黑体" w:cs="黑体"/>
          <w:sz w:val="30"/>
          <w:szCs w:val="30"/>
        </w:rPr>
        <w:t>经营者集中简易案件公示表</w:t>
      </w:r>
    </w:p>
    <w:p>
      <w:pPr>
        <w:spacing w:line="440" w:lineRule="exact"/>
        <w:ind w:firstLine="845" w:firstLineChars="302"/>
        <w:rPr>
          <w:rFonts w:ascii="仿宋_GB2312" w:hAnsi="Times New Roman" w:eastAsia="仿宋_GB2312" w:cs="Times New Roman"/>
          <w:sz w:val="28"/>
          <w:szCs w:val="28"/>
        </w:rPr>
      </w:pPr>
    </w:p>
    <w:tbl>
      <w:tblPr>
        <w:tblStyle w:val="4"/>
        <w:tblW w:w="8758"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案件名称</w:t>
            </w:r>
          </w:p>
        </w:tc>
        <w:tc>
          <w:tcPr>
            <w:tcW w:w="6949" w:type="dxa"/>
            <w:gridSpan w:val="2"/>
          </w:tcPr>
          <w:p>
            <w:pPr>
              <w:spacing w:line="500" w:lineRule="exact"/>
              <w:rPr>
                <w:rFonts w:hint="default" w:ascii="Times New Roman" w:hAnsi="Times New Roman" w:cs="Times New Roman"/>
                <w:kern w:val="0"/>
                <w:sz w:val="22"/>
                <w:szCs w:val="22"/>
                <w:highlight w:val="yellow"/>
              </w:rPr>
            </w:pPr>
            <w:r>
              <w:rPr>
                <w:rFonts w:hint="default" w:ascii="Times New Roman" w:hAnsi="Times New Roman" w:cs="Times New Roman"/>
                <w:kern w:val="0"/>
                <w:sz w:val="22"/>
                <w:szCs w:val="22"/>
              </w:rPr>
              <w:t>上海飞机制造有限公司与吉凯恩航宇民机服务有限公司等经营者新设合营企业案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交易概况（限200字内）</w:t>
            </w:r>
          </w:p>
        </w:tc>
        <w:tc>
          <w:tcPr>
            <w:tcW w:w="6949" w:type="dxa"/>
            <w:gridSpan w:val="2"/>
          </w:tcPr>
          <w:p>
            <w:pPr>
              <w:spacing w:line="360" w:lineRule="auto"/>
              <w:rPr>
                <w:rFonts w:hint="default" w:ascii="Times New Roman" w:hAnsi="Times New Roman" w:cs="Times New Roman"/>
                <w:kern w:val="0"/>
                <w:sz w:val="22"/>
                <w:szCs w:val="22"/>
              </w:rPr>
            </w:pPr>
            <w:r>
              <w:rPr>
                <w:rFonts w:hint="default" w:ascii="Times New Roman" w:hAnsi="Times New Roman" w:cs="Times New Roman"/>
                <w:kern w:val="0"/>
                <w:sz w:val="22"/>
                <w:szCs w:val="22"/>
              </w:rPr>
              <w:t>上海飞机制造有限公司、吉凯恩航宇民机服务有限公司、中航国际供应链科技有限公司（合营三方）拟在中国江苏省靖江市设立一个新的合营企业——凯飞航空结构件制造有限公司，为国际和国内的民用飞机项目制造民用飞机结构件。交易结束后，三方将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参与集中的经营者简介</w:t>
            </w:r>
          </w:p>
        </w:tc>
        <w:tc>
          <w:tcPr>
            <w:tcW w:w="1796" w:type="dxa"/>
          </w:tcPr>
          <w:p>
            <w:pPr>
              <w:spacing w:line="500" w:lineRule="exact"/>
              <w:rPr>
                <w:rFonts w:hint="default" w:ascii="Times New Roman" w:hAnsi="Times New Roman" w:cs="Times New Roman"/>
                <w:kern w:val="0"/>
                <w:sz w:val="22"/>
                <w:szCs w:val="22"/>
                <w:highlight w:val="yellow"/>
              </w:rPr>
            </w:pPr>
            <w:r>
              <w:rPr>
                <w:rFonts w:hint="default" w:ascii="Times New Roman" w:hAnsi="Times New Roman" w:cs="Times New Roman"/>
                <w:kern w:val="0"/>
                <w:sz w:val="22"/>
                <w:szCs w:val="22"/>
              </w:rPr>
              <w:t>1．上海飞机制造有限公司</w:t>
            </w:r>
          </w:p>
        </w:tc>
        <w:tc>
          <w:tcPr>
            <w:tcW w:w="5153" w:type="dxa"/>
          </w:tcPr>
          <w:p>
            <w:pPr>
              <w:spacing w:line="360" w:lineRule="auto"/>
              <w:rPr>
                <w:rFonts w:hint="default" w:ascii="Times New Roman" w:hAnsi="Times New Roman" w:cs="Times New Roman"/>
                <w:kern w:val="0"/>
                <w:sz w:val="22"/>
                <w:szCs w:val="22"/>
                <w:highlight w:val="yellow"/>
              </w:rPr>
            </w:pPr>
            <w:r>
              <w:rPr>
                <w:rFonts w:hint="default" w:ascii="Times New Roman" w:hAnsi="Times New Roman" w:cs="Times New Roman"/>
                <w:kern w:val="0"/>
                <w:sz w:val="22"/>
                <w:szCs w:val="22"/>
              </w:rPr>
              <w:t>上海飞机制造有限公司是中国商用飞机有限责任公司下辖的“总装制造中心”。主营业务包括：民用飞机总装集成、民用飞机结构件转包生产、飞机维修与改装。全球范围的业务主要表现为：民用飞机结构件转包生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vAlign w:val="center"/>
          </w:tcPr>
          <w:p>
            <w:pPr>
              <w:widowControl/>
              <w:jc w:val="left"/>
              <w:rPr>
                <w:rFonts w:hint="default" w:ascii="Times New Roman" w:hAnsi="Times New Roman" w:eastAsia="仿宋_GB2312" w:cs="Times New Roman"/>
                <w:sz w:val="28"/>
                <w:szCs w:val="28"/>
              </w:rPr>
            </w:pPr>
          </w:p>
        </w:tc>
        <w:tc>
          <w:tcPr>
            <w:tcW w:w="1796" w:type="dxa"/>
          </w:tcPr>
          <w:p>
            <w:pPr>
              <w:spacing w:line="500" w:lineRule="exact"/>
              <w:rPr>
                <w:rFonts w:hint="default" w:ascii="Times New Roman" w:hAnsi="Times New Roman" w:cs="Times New Roman"/>
                <w:kern w:val="0"/>
                <w:sz w:val="22"/>
                <w:szCs w:val="22"/>
                <w:highlight w:val="yellow"/>
              </w:rPr>
            </w:pPr>
            <w:r>
              <w:rPr>
                <w:rFonts w:hint="default" w:ascii="Times New Roman" w:hAnsi="Times New Roman" w:cs="Times New Roman"/>
                <w:kern w:val="0"/>
                <w:sz w:val="22"/>
                <w:szCs w:val="22"/>
              </w:rPr>
              <w:t>2．吉凯恩航宇民机服务有限公司</w:t>
            </w:r>
          </w:p>
        </w:tc>
        <w:tc>
          <w:tcPr>
            <w:tcW w:w="5153" w:type="dxa"/>
          </w:tcPr>
          <w:p>
            <w:pPr>
              <w:spacing w:line="360" w:lineRule="auto"/>
              <w:rPr>
                <w:rFonts w:hint="default" w:ascii="Times New Roman" w:hAnsi="Times New Roman" w:cs="Times New Roman"/>
                <w:kern w:val="0"/>
                <w:sz w:val="22"/>
                <w:szCs w:val="22"/>
                <w:highlight w:val="yellow"/>
              </w:rPr>
            </w:pPr>
            <w:r>
              <w:rPr>
                <w:rFonts w:hint="default" w:ascii="Times New Roman" w:hAnsi="Times New Roman" w:cs="Times New Roman"/>
                <w:kern w:val="0"/>
                <w:sz w:val="22"/>
                <w:szCs w:val="22"/>
              </w:rPr>
              <w:t>吉凯恩航宇民机服务有限公司是作为吉凯恩航宇旗下准备专门从事以下业务而设立的公司：民用飞机结构件、航天器结构件和其他相关结构件的制造和供应。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vAlign w:val="center"/>
          </w:tcPr>
          <w:p>
            <w:pPr>
              <w:widowControl/>
              <w:jc w:val="left"/>
              <w:rPr>
                <w:rFonts w:hint="default" w:ascii="Times New Roman" w:hAnsi="Times New Roman" w:eastAsia="仿宋_GB2312" w:cs="Times New Roman"/>
                <w:sz w:val="28"/>
                <w:szCs w:val="28"/>
              </w:rPr>
            </w:pPr>
          </w:p>
        </w:tc>
        <w:tc>
          <w:tcPr>
            <w:tcW w:w="1796" w:type="dxa"/>
          </w:tcPr>
          <w:p>
            <w:pPr>
              <w:spacing w:line="500" w:lineRule="exact"/>
              <w:rPr>
                <w:rFonts w:hint="default" w:ascii="Times New Roman" w:hAnsi="Times New Roman" w:cs="Times New Roman"/>
                <w:kern w:val="0"/>
                <w:sz w:val="22"/>
                <w:szCs w:val="22"/>
                <w:highlight w:val="yellow"/>
              </w:rPr>
            </w:pPr>
            <w:r>
              <w:rPr>
                <w:rFonts w:hint="default" w:ascii="Times New Roman" w:hAnsi="Times New Roman" w:cs="Times New Roman"/>
                <w:kern w:val="0"/>
                <w:sz w:val="22"/>
                <w:szCs w:val="22"/>
              </w:rPr>
              <w:t>3.</w:t>
            </w:r>
            <w:r>
              <w:rPr>
                <w:rFonts w:hint="default" w:ascii="Times New Roman" w:hAnsi="Times New Roman" w:cs="Times New Roman"/>
                <w:sz w:val="22"/>
                <w:szCs w:val="22"/>
              </w:rPr>
              <w:t xml:space="preserve"> </w:t>
            </w:r>
            <w:r>
              <w:rPr>
                <w:rFonts w:hint="default" w:ascii="Times New Roman" w:hAnsi="Times New Roman" w:cs="Times New Roman"/>
                <w:kern w:val="0"/>
                <w:sz w:val="22"/>
                <w:szCs w:val="22"/>
              </w:rPr>
              <w:t>中航国际供应链科技有限公司</w:t>
            </w:r>
          </w:p>
        </w:tc>
        <w:tc>
          <w:tcPr>
            <w:tcW w:w="5153" w:type="dxa"/>
          </w:tcPr>
          <w:p>
            <w:pPr>
              <w:spacing w:line="360" w:lineRule="auto"/>
              <w:rPr>
                <w:rFonts w:hint="default" w:ascii="Times New Roman" w:hAnsi="Times New Roman" w:cs="Times New Roman"/>
                <w:kern w:val="0"/>
                <w:sz w:val="22"/>
                <w:szCs w:val="22"/>
              </w:rPr>
            </w:pPr>
            <w:r>
              <w:rPr>
                <w:rFonts w:hint="default" w:ascii="Times New Roman" w:hAnsi="Times New Roman" w:cs="Times New Roman"/>
                <w:kern w:val="0"/>
                <w:sz w:val="22"/>
                <w:szCs w:val="22"/>
              </w:rPr>
              <w:t>中航国际供应链科技有限公司作为航空工业供应链体系建设的主要支撑单位之一，借鉴国际先进供应链集成服务经验，以专业化核心能力为基础，依托航空工业并利用全球资源，为客户提供采购、运输、仓储配送、转包生产、设备采购、智能制造、智能装配等供应链集成服务。</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简易案件理由（可以单选，也可以多选）</w:t>
            </w:r>
          </w:p>
        </w:tc>
        <w:tc>
          <w:tcPr>
            <w:tcW w:w="6949" w:type="dxa"/>
            <w:gridSpan w:val="2"/>
          </w:tcPr>
          <w:p>
            <w:pPr>
              <w:spacing w:line="500" w:lineRule="exac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lang w:eastAsia="zh-CN"/>
              </w:rPr>
              <w:t>☑</w:t>
            </w:r>
            <w:r>
              <w:rPr>
                <w:rFonts w:hint="default" w:ascii="Times New Roman" w:hAnsi="Times New Roman" w:eastAsia="华文仿宋" w:cs="Times New Roman"/>
                <w:sz w:val="28"/>
                <w:szCs w:val="28"/>
              </w:rPr>
              <w:t>1</w:t>
            </w:r>
            <w:r>
              <w:rPr>
                <w:rFonts w:hint="default" w:ascii="Times New Roman" w:hAnsi="Times New Roman" w:eastAsia="仿宋_GB2312" w:cs="Times New Roman"/>
                <w:sz w:val="28"/>
                <w:szCs w:val="28"/>
              </w:rPr>
              <w:t>、在同一相关市场，所有参与集中的经营者所占市场份额之和小于15%。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vAlign w:val="center"/>
          </w:tcPr>
          <w:p>
            <w:pPr>
              <w:widowControl/>
              <w:jc w:val="left"/>
              <w:rPr>
                <w:rFonts w:hint="default" w:ascii="Times New Roman" w:hAnsi="Times New Roman" w:eastAsia="仿宋_GB2312" w:cs="Times New Roman"/>
                <w:sz w:val="28"/>
                <w:szCs w:val="28"/>
              </w:rPr>
            </w:pPr>
          </w:p>
        </w:tc>
        <w:tc>
          <w:tcPr>
            <w:tcW w:w="6949" w:type="dxa"/>
            <w:gridSpan w:val="2"/>
          </w:tcPr>
          <w:p>
            <w:pPr>
              <w:spacing w:line="500" w:lineRule="exac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lang w:eastAsia="zh-CN"/>
              </w:rPr>
              <w:t>☑</w:t>
            </w:r>
            <w:r>
              <w:rPr>
                <w:rFonts w:hint="default" w:ascii="Times New Roman" w:hAnsi="Times New Roman" w:eastAsia="仿宋_GB2312" w:cs="Times New Roman"/>
                <w:sz w:val="28"/>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vAlign w:val="center"/>
          </w:tcPr>
          <w:p>
            <w:pPr>
              <w:widowControl/>
              <w:jc w:val="left"/>
              <w:rPr>
                <w:rFonts w:hint="default" w:ascii="Times New Roman" w:hAnsi="Times New Roman" w:eastAsia="仿宋_GB2312" w:cs="Times New Roman"/>
                <w:sz w:val="28"/>
                <w:szCs w:val="28"/>
              </w:rPr>
            </w:pPr>
          </w:p>
        </w:tc>
        <w:tc>
          <w:tcPr>
            <w:tcW w:w="6949" w:type="dxa"/>
            <w:gridSpan w:val="2"/>
          </w:tcPr>
          <w:p>
            <w:pPr>
              <w:spacing w:line="500" w:lineRule="exact"/>
              <w:rPr>
                <w:rFonts w:hint="default" w:ascii="Times New Roman" w:hAnsi="Times New Roman" w:eastAsia="仿宋_GB2312" w:cs="Times New Roman"/>
                <w:sz w:val="28"/>
                <w:szCs w:val="28"/>
              </w:rPr>
            </w:pPr>
            <w:r>
              <w:rPr>
                <w:rFonts w:hint="default" w:ascii="Times New Roman" w:hAnsi="Times New Roman" w:eastAsia="仿宋" w:cs="Times New Roman"/>
                <w:sz w:val="28"/>
                <w:szCs w:val="28"/>
                <w:lang w:eastAsia="zh-CN"/>
              </w:rPr>
              <w:t>□</w:t>
            </w:r>
            <w:r>
              <w:rPr>
                <w:rFonts w:hint="default" w:ascii="Times New Roman" w:hAnsi="Times New Roman" w:eastAsia="仿宋_GB2312" w:cs="Times New Roman"/>
                <w:sz w:val="28"/>
                <w:szCs w:val="28"/>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vAlign w:val="center"/>
          </w:tcPr>
          <w:p>
            <w:pPr>
              <w:widowControl/>
              <w:jc w:val="left"/>
              <w:rPr>
                <w:rFonts w:hint="default" w:ascii="Times New Roman" w:hAnsi="Times New Roman" w:eastAsia="仿宋_GB2312" w:cs="Times New Roman"/>
                <w:sz w:val="28"/>
                <w:szCs w:val="28"/>
              </w:rPr>
            </w:pPr>
          </w:p>
        </w:tc>
        <w:tc>
          <w:tcPr>
            <w:tcW w:w="6949" w:type="dxa"/>
            <w:gridSpan w:val="2"/>
          </w:tcPr>
          <w:p>
            <w:pPr>
              <w:spacing w:line="500" w:lineRule="exac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vAlign w:val="center"/>
          </w:tcPr>
          <w:p>
            <w:pPr>
              <w:widowControl/>
              <w:jc w:val="left"/>
              <w:rPr>
                <w:rFonts w:hint="default" w:ascii="Times New Roman" w:hAnsi="Times New Roman" w:eastAsia="仿宋_GB2312" w:cs="Times New Roman"/>
                <w:sz w:val="28"/>
                <w:szCs w:val="28"/>
              </w:rPr>
            </w:pPr>
          </w:p>
        </w:tc>
        <w:tc>
          <w:tcPr>
            <w:tcW w:w="6949" w:type="dxa"/>
            <w:gridSpan w:val="2"/>
          </w:tcPr>
          <w:p>
            <w:pPr>
              <w:spacing w:line="500" w:lineRule="exac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vAlign w:val="center"/>
          </w:tcPr>
          <w:p>
            <w:pPr>
              <w:widowControl/>
              <w:jc w:val="left"/>
              <w:rPr>
                <w:rFonts w:hint="default" w:ascii="Times New Roman" w:hAnsi="Times New Roman" w:eastAsia="仿宋_GB2312" w:cs="Times New Roman"/>
                <w:sz w:val="28"/>
                <w:szCs w:val="28"/>
              </w:rPr>
            </w:pPr>
          </w:p>
        </w:tc>
        <w:tc>
          <w:tcPr>
            <w:tcW w:w="6949" w:type="dxa"/>
            <w:gridSpan w:val="2"/>
          </w:tcPr>
          <w:p>
            <w:pPr>
              <w:spacing w:line="500" w:lineRule="exac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hint="default" w:ascii="Times New Roman" w:hAnsi="Times New Roman" w:eastAsia="仿宋_GB2312" w:cs="Times New Roman"/>
                <w:b/>
                <w:bCs/>
                <w:sz w:val="28"/>
                <w:szCs w:val="28"/>
              </w:rPr>
            </w:pPr>
            <w:r>
              <w:rPr>
                <w:rFonts w:hint="default" w:ascii="Times New Roman" w:hAnsi="Times New Roman" w:eastAsia="仿宋_GB2312" w:cs="Times New Roman"/>
                <w:b/>
                <w:bCs/>
                <w:sz w:val="28"/>
                <w:szCs w:val="28"/>
              </w:rPr>
              <w:t>备注</w:t>
            </w:r>
          </w:p>
        </w:tc>
        <w:tc>
          <w:tcPr>
            <w:tcW w:w="6949" w:type="dxa"/>
            <w:gridSpan w:val="2"/>
          </w:tcPr>
          <w:p>
            <w:pPr>
              <w:numPr>
                <w:ilvl w:val="0"/>
                <w:numId w:val="0"/>
              </w:numPr>
              <w:spacing w:line="360" w:lineRule="auto"/>
              <w:rPr>
                <w:rFonts w:hint="default" w:ascii="Times New Roman" w:hAnsi="Times New Roman" w:eastAsia="宋体" w:cs="Times New Roman"/>
                <w:color w:val="000000"/>
                <w:kern w:val="0"/>
                <w:sz w:val="24"/>
                <w:szCs w:val="24"/>
                <w:lang w:val="en-US" w:eastAsia="zh-CN"/>
              </w:rPr>
            </w:pPr>
            <w:r>
              <w:rPr>
                <w:rFonts w:hint="default" w:ascii="Times New Roman" w:hAnsi="Times New Roman" w:cs="Times New Roman"/>
                <w:color w:val="000000"/>
                <w:kern w:val="0"/>
                <w:sz w:val="24"/>
                <w:szCs w:val="24"/>
                <w:lang w:val="en-US" w:eastAsia="zh-CN"/>
              </w:rPr>
              <w:t>相关市场界定：</w:t>
            </w:r>
          </w:p>
          <w:p>
            <w:pPr>
              <w:numPr>
                <w:ilvl w:val="0"/>
                <w:numId w:val="1"/>
              </w:numPr>
              <w:spacing w:line="360" w:lineRule="auto"/>
              <w:rPr>
                <w:rFonts w:hint="default" w:ascii="Times New Roman" w:hAnsi="Times New Roman" w:cs="Times New Roman"/>
                <w:b w:val="0"/>
                <w:bCs w:val="0"/>
                <w:color w:val="000000"/>
                <w:kern w:val="0"/>
                <w:sz w:val="24"/>
                <w:szCs w:val="24"/>
              </w:rPr>
            </w:pPr>
            <w:r>
              <w:rPr>
                <w:rFonts w:hint="default" w:ascii="Times New Roman" w:hAnsi="Times New Roman" w:cs="Times New Roman"/>
                <w:b w:val="0"/>
                <w:bCs w:val="0"/>
                <w:color w:val="000000"/>
                <w:kern w:val="0"/>
                <w:sz w:val="24"/>
                <w:szCs w:val="24"/>
              </w:rPr>
              <w:t>相关商品市场：民用飞机结构件</w:t>
            </w:r>
          </w:p>
          <w:p>
            <w:pPr>
              <w:numPr>
                <w:ilvl w:val="0"/>
                <w:numId w:val="0"/>
              </w:numPr>
              <w:spacing w:line="360" w:lineRule="auto"/>
              <w:ind w:left="0" w:leftChars="0" w:firstLine="420" w:firstLineChars="175"/>
              <w:rPr>
                <w:rFonts w:hint="default" w:ascii="Times New Roman" w:hAnsi="Times New Roman" w:cs="Times New Roman"/>
                <w:b w:val="0"/>
                <w:bCs w:val="0"/>
                <w:color w:val="000000"/>
                <w:kern w:val="0"/>
                <w:sz w:val="24"/>
                <w:szCs w:val="24"/>
              </w:rPr>
            </w:pPr>
            <w:r>
              <w:rPr>
                <w:rFonts w:hint="default" w:ascii="Times New Roman" w:hAnsi="Times New Roman" w:cs="Times New Roman"/>
                <w:b w:val="0"/>
                <w:bCs w:val="0"/>
                <w:color w:val="000000"/>
                <w:kern w:val="0"/>
                <w:sz w:val="24"/>
                <w:szCs w:val="24"/>
                <w:lang w:val="en-US" w:eastAsia="zh-CN"/>
              </w:rPr>
              <w:t>相关地域市场：全球</w:t>
            </w:r>
          </w:p>
          <w:p>
            <w:pPr>
              <w:numPr>
                <w:ilvl w:val="0"/>
                <w:numId w:val="0"/>
              </w:numPr>
              <w:spacing w:line="360" w:lineRule="auto"/>
              <w:ind w:left="420" w:leftChars="200" w:firstLine="0" w:firstLineChars="0"/>
              <w:rPr>
                <w:rFonts w:hint="default" w:ascii="Times New Roman" w:hAnsi="Times New Roman" w:cs="Times New Roman"/>
                <w:b w:val="0"/>
                <w:bCs w:val="0"/>
                <w:color w:val="000000"/>
                <w:kern w:val="0"/>
                <w:sz w:val="24"/>
                <w:szCs w:val="24"/>
              </w:rPr>
            </w:pPr>
            <w:r>
              <w:rPr>
                <w:rFonts w:hint="default" w:ascii="Times New Roman" w:hAnsi="Times New Roman" w:cs="Times New Roman"/>
                <w:b w:val="0"/>
                <w:bCs w:val="0"/>
                <w:color w:val="000000"/>
                <w:kern w:val="0"/>
                <w:sz w:val="24"/>
                <w:szCs w:val="24"/>
                <w:lang w:val="en-US" w:eastAsia="zh-CN"/>
              </w:rPr>
              <w:t>市场份额：</w:t>
            </w:r>
            <w:r>
              <w:rPr>
                <w:rFonts w:hint="default" w:ascii="Times New Roman" w:hAnsi="Times New Roman" w:cs="Times New Roman"/>
                <w:b w:val="0"/>
                <w:bCs w:val="0"/>
                <w:color w:val="000000"/>
                <w:kern w:val="0"/>
                <w:sz w:val="24"/>
                <w:szCs w:val="24"/>
              </w:rPr>
              <w:t>上海飞机制造有限公司[0-5]%</w:t>
            </w:r>
            <w:r>
              <w:rPr>
                <w:rFonts w:hint="default" w:ascii="Times New Roman" w:hAnsi="Times New Roman" w:cs="Times New Roman"/>
                <w:b w:val="0"/>
                <w:bCs w:val="0"/>
                <w:color w:val="000000"/>
                <w:kern w:val="0"/>
                <w:sz w:val="24"/>
                <w:szCs w:val="24"/>
                <w:lang w:eastAsia="zh-CN"/>
              </w:rPr>
              <w:t>、</w:t>
            </w:r>
            <w:r>
              <w:rPr>
                <w:rFonts w:hint="default" w:ascii="Times New Roman" w:hAnsi="Times New Roman" w:cs="Times New Roman"/>
                <w:b w:val="0"/>
                <w:bCs w:val="0"/>
                <w:color w:val="000000"/>
                <w:kern w:val="0"/>
                <w:sz w:val="24"/>
                <w:szCs w:val="24"/>
              </w:rPr>
              <w:t>吉凯恩航宇民机服务有限公司[0-5]%</w:t>
            </w:r>
            <w:r>
              <w:rPr>
                <w:rFonts w:hint="default" w:ascii="Times New Roman" w:hAnsi="Times New Roman" w:cs="Times New Roman"/>
                <w:b w:val="0"/>
                <w:bCs w:val="0"/>
                <w:color w:val="000000"/>
                <w:kern w:val="0"/>
                <w:sz w:val="24"/>
                <w:szCs w:val="24"/>
                <w:lang w:eastAsia="zh-CN"/>
              </w:rPr>
              <w:t>、</w:t>
            </w:r>
            <w:r>
              <w:rPr>
                <w:rFonts w:hint="default" w:ascii="Times New Roman" w:hAnsi="Times New Roman" w:cs="Times New Roman"/>
                <w:b w:val="0"/>
                <w:bCs w:val="0"/>
                <w:color w:val="000000"/>
                <w:kern w:val="0"/>
                <w:sz w:val="24"/>
                <w:szCs w:val="24"/>
              </w:rPr>
              <w:t>中航国际供应链科技有限公司[0-5]%</w:t>
            </w:r>
            <w:r>
              <w:rPr>
                <w:rFonts w:hint="default" w:ascii="Times New Roman" w:hAnsi="Times New Roman" w:cs="Times New Roman"/>
                <w:b w:val="0"/>
                <w:bCs w:val="0"/>
                <w:color w:val="000000"/>
                <w:kern w:val="0"/>
                <w:sz w:val="24"/>
                <w:szCs w:val="24"/>
                <w:lang w:eastAsia="zh-CN"/>
              </w:rPr>
              <w:t>、</w:t>
            </w:r>
            <w:r>
              <w:rPr>
                <w:rFonts w:hint="default" w:ascii="Times New Roman" w:hAnsi="Times New Roman" w:cs="Times New Roman"/>
                <w:b w:val="0"/>
                <w:bCs w:val="0"/>
                <w:color w:val="000000"/>
                <w:kern w:val="0"/>
                <w:sz w:val="24"/>
                <w:szCs w:val="24"/>
                <w:lang w:val="en-US" w:eastAsia="zh-CN"/>
              </w:rPr>
              <w:t>合营企业：</w:t>
            </w:r>
            <w:r>
              <w:rPr>
                <w:rFonts w:hint="default" w:ascii="Times New Roman" w:hAnsi="Times New Roman" w:cs="Times New Roman"/>
                <w:b w:val="0"/>
                <w:bCs w:val="0"/>
                <w:color w:val="000000"/>
                <w:kern w:val="0"/>
                <w:sz w:val="24"/>
                <w:szCs w:val="24"/>
              </w:rPr>
              <w:t>[0-5]%</w:t>
            </w:r>
          </w:p>
          <w:p>
            <w:pPr>
              <w:numPr>
                <w:ilvl w:val="0"/>
                <w:numId w:val="0"/>
              </w:numPr>
              <w:spacing w:line="360" w:lineRule="auto"/>
              <w:ind w:left="420" w:leftChars="200" w:firstLine="0" w:firstLineChars="0"/>
              <w:rPr>
                <w:rFonts w:hint="default" w:ascii="Times New Roman" w:hAnsi="Times New Roman" w:cs="Times New Roman"/>
                <w:b w:val="0"/>
                <w:bCs w:val="0"/>
                <w:color w:val="000000"/>
                <w:kern w:val="0"/>
                <w:sz w:val="24"/>
                <w:szCs w:val="24"/>
              </w:rPr>
            </w:pPr>
          </w:p>
          <w:p>
            <w:pPr>
              <w:numPr>
                <w:ilvl w:val="0"/>
                <w:numId w:val="1"/>
              </w:numPr>
              <w:spacing w:line="360" w:lineRule="auto"/>
              <w:rPr>
                <w:rFonts w:hint="default" w:ascii="Times New Roman" w:hAnsi="Times New Roman" w:cs="Times New Roman"/>
                <w:b w:val="0"/>
                <w:bCs w:val="0"/>
                <w:color w:val="000000"/>
                <w:kern w:val="0"/>
                <w:sz w:val="24"/>
                <w:szCs w:val="24"/>
              </w:rPr>
            </w:pPr>
            <w:r>
              <w:rPr>
                <w:rFonts w:hint="default" w:ascii="Times New Roman" w:hAnsi="Times New Roman" w:cs="Times New Roman"/>
                <w:b w:val="0"/>
                <w:bCs w:val="0"/>
                <w:color w:val="000000"/>
                <w:kern w:val="0"/>
                <w:sz w:val="24"/>
                <w:szCs w:val="24"/>
              </w:rPr>
              <w:t>相关商品市场：</w:t>
            </w:r>
            <w:r>
              <w:rPr>
                <w:rFonts w:hint="default" w:ascii="Times New Roman" w:hAnsi="Times New Roman" w:cs="Times New Roman"/>
                <w:b w:val="0"/>
                <w:bCs w:val="0"/>
                <w:color w:val="000000"/>
                <w:kern w:val="0"/>
                <w:sz w:val="24"/>
                <w:szCs w:val="24"/>
                <w:lang w:val="en-US" w:eastAsia="zh-CN"/>
              </w:rPr>
              <w:t>支线客机</w:t>
            </w:r>
          </w:p>
          <w:p>
            <w:pPr>
              <w:numPr>
                <w:ilvl w:val="0"/>
                <w:numId w:val="0"/>
              </w:numPr>
              <w:spacing w:line="360" w:lineRule="auto"/>
              <w:ind w:left="0" w:leftChars="0" w:firstLine="420" w:firstLineChars="175"/>
              <w:rPr>
                <w:rFonts w:hint="default" w:ascii="Times New Roman" w:hAnsi="Times New Roman" w:cs="Times New Roman"/>
                <w:b w:val="0"/>
                <w:bCs w:val="0"/>
                <w:color w:val="000000"/>
                <w:kern w:val="0"/>
                <w:sz w:val="24"/>
                <w:szCs w:val="24"/>
              </w:rPr>
            </w:pPr>
            <w:r>
              <w:rPr>
                <w:rFonts w:hint="default" w:ascii="Times New Roman" w:hAnsi="Times New Roman" w:cs="Times New Roman"/>
                <w:b w:val="0"/>
                <w:bCs w:val="0"/>
                <w:color w:val="000000"/>
                <w:kern w:val="0"/>
                <w:sz w:val="24"/>
                <w:szCs w:val="24"/>
                <w:lang w:val="en-US" w:eastAsia="zh-CN"/>
              </w:rPr>
              <w:t>相关地域市场：全球</w:t>
            </w:r>
          </w:p>
          <w:p>
            <w:pPr>
              <w:numPr>
                <w:ilvl w:val="0"/>
                <w:numId w:val="0"/>
              </w:numPr>
              <w:spacing w:line="360" w:lineRule="auto"/>
              <w:ind w:left="420" w:leftChars="200" w:firstLine="0" w:firstLineChars="0"/>
              <w:rPr>
                <w:rFonts w:hint="default" w:ascii="Times New Roman" w:hAnsi="Times New Roman" w:eastAsia="仿宋_GB2312" w:cs="Times New Roman"/>
                <w:b/>
                <w:bCs/>
                <w:sz w:val="28"/>
                <w:szCs w:val="28"/>
              </w:rPr>
            </w:pPr>
            <w:r>
              <w:rPr>
                <w:rFonts w:hint="default" w:ascii="Times New Roman" w:hAnsi="Times New Roman" w:cs="Times New Roman"/>
                <w:b w:val="0"/>
                <w:bCs w:val="0"/>
                <w:color w:val="000000"/>
                <w:kern w:val="0"/>
                <w:sz w:val="24"/>
                <w:szCs w:val="24"/>
                <w:lang w:val="en-US" w:eastAsia="zh-CN"/>
              </w:rPr>
              <w:t>市场份额：</w:t>
            </w:r>
            <w:r>
              <w:rPr>
                <w:rFonts w:hint="default" w:ascii="Times New Roman" w:hAnsi="Times New Roman" w:cs="Times New Roman"/>
                <w:b w:val="0"/>
                <w:bCs w:val="0"/>
                <w:color w:val="000000"/>
                <w:kern w:val="0"/>
                <w:sz w:val="24"/>
                <w:szCs w:val="24"/>
              </w:rPr>
              <w:t>上海飞机制造有限公司</w:t>
            </w:r>
            <w:r>
              <w:rPr>
                <w:rFonts w:hint="default" w:ascii="Times New Roman" w:hAnsi="Times New Roman" w:cs="Times New Roman"/>
                <w:color w:val="000000"/>
                <w:kern w:val="0"/>
                <w:sz w:val="24"/>
                <w:szCs w:val="24"/>
              </w:rPr>
              <w:t>[</w:t>
            </w:r>
            <w:r>
              <w:rPr>
                <w:rFonts w:hint="default" w:ascii="Times New Roman" w:hAnsi="Times New Roman" w:cs="Times New Roman"/>
                <w:color w:val="000000"/>
                <w:kern w:val="0"/>
                <w:sz w:val="24"/>
                <w:szCs w:val="24"/>
                <w:lang w:val="en-US" w:eastAsia="zh-CN"/>
              </w:rPr>
              <w:t>15</w:t>
            </w:r>
            <w:r>
              <w:rPr>
                <w:rFonts w:hint="default" w:ascii="Times New Roman" w:hAnsi="Times New Roman" w:cs="Times New Roman"/>
                <w:color w:val="000000"/>
                <w:kern w:val="0"/>
                <w:sz w:val="24"/>
                <w:szCs w:val="24"/>
              </w:rPr>
              <w:t>-</w:t>
            </w:r>
            <w:r>
              <w:rPr>
                <w:rFonts w:hint="default" w:ascii="Times New Roman" w:hAnsi="Times New Roman" w:cs="Times New Roman"/>
                <w:color w:val="000000"/>
                <w:kern w:val="0"/>
                <w:sz w:val="24"/>
                <w:szCs w:val="24"/>
                <w:lang w:val="en-US" w:eastAsia="zh-CN"/>
              </w:rPr>
              <w:t>20</w:t>
            </w:r>
            <w:r>
              <w:rPr>
                <w:rFonts w:hint="default" w:ascii="Times New Roman" w:hAnsi="Times New Roman" w:cs="Times New Roman"/>
                <w:color w:val="000000"/>
                <w:kern w:val="0"/>
                <w:sz w:val="24"/>
                <w:szCs w:val="24"/>
              </w:rPr>
              <w:t>]%</w:t>
            </w:r>
          </w:p>
        </w:tc>
      </w:tr>
    </w:tbl>
    <w:p>
      <w:pPr>
        <w:snapToGrid w:val="0"/>
        <w:spacing w:line="240" w:lineRule="exact"/>
        <w:jc w:val="left"/>
        <w:rPr>
          <w:rFonts w:ascii="楷体_GB2312" w:hAnsi="宋体" w:eastAsia="楷体_GB2312" w:cs="Times New Roman"/>
          <w:sz w:val="24"/>
          <w:szCs w:val="24"/>
        </w:rPr>
      </w:pPr>
    </w:p>
    <w:p>
      <w:pPr>
        <w:snapToGrid w:val="0"/>
        <w:spacing w:line="240" w:lineRule="exact"/>
        <w:jc w:val="left"/>
        <w:rPr>
          <w:rFonts w:ascii="楷体_GB2312" w:hAnsi="宋体" w:eastAsia="楷体_GB2312" w:cs="Times New Roman"/>
        </w:rPr>
      </w:pPr>
      <w:r>
        <w:rPr>
          <w:rFonts w:hint="eastAsia" w:ascii="楷体_GB2312" w:hAnsi="宋体" w:eastAsia="楷体_GB2312" w:cs="楷体_GB2312"/>
        </w:rPr>
        <w:t>注解：</w:t>
      </w:r>
    </w:p>
    <w:p>
      <w:pPr>
        <w:snapToGrid w:val="0"/>
        <w:spacing w:line="360" w:lineRule="auto"/>
        <w:ind w:firstLine="420" w:firstLineChars="200"/>
        <w:jc w:val="left"/>
        <w:rPr>
          <w:rFonts w:ascii="楷体_GB2312" w:hAnsi="宋体" w:eastAsia="楷体_GB2312" w:cs="Times New Roman"/>
        </w:rPr>
      </w:pPr>
      <w:r>
        <w:rPr>
          <w:rFonts w:ascii="楷体_GB2312" w:hAnsi="宋体" w:eastAsia="楷体_GB2312" w:cs="楷体_GB2312"/>
        </w:rPr>
        <w:t>1</w:t>
      </w:r>
      <w:r>
        <w:rPr>
          <w:rFonts w:hint="eastAsia" w:ascii="楷体_GB2312" w:hAnsi="宋体" w:eastAsia="楷体_GB2312" w:cs="楷体_GB2312"/>
        </w:rPr>
        <w:t>、申报方申请简易案件的理由是基于</w:t>
      </w:r>
      <w:r>
        <w:rPr>
          <w:rFonts w:ascii="楷体_GB2312" w:hAnsi="宋体" w:eastAsia="楷体_GB2312" w:cs="楷体_GB2312"/>
        </w:rPr>
        <w:t>1-3</w:t>
      </w:r>
      <w:r>
        <w:rPr>
          <w:rFonts w:hint="eastAsia" w:ascii="楷体_GB2312" w:hAnsi="宋体" w:eastAsia="楷体_GB2312" w:cs="楷体_GB2312"/>
        </w:rPr>
        <w:t>项时，须在备注中说明界定的相关商品市场和相关地域市场（无须阐述界定理由），以及相关市场份额；市场份额可以区间形式提供，区间幅度不应超过</w:t>
      </w:r>
      <w:r>
        <w:rPr>
          <w:rFonts w:ascii="楷体_GB2312" w:hAnsi="宋体" w:eastAsia="楷体_GB2312" w:cs="楷体_GB2312"/>
        </w:rPr>
        <w:t>5%</w:t>
      </w:r>
      <w:r>
        <w:rPr>
          <w:rFonts w:hint="eastAsia" w:ascii="楷体_GB2312" w:hAnsi="宋体" w:eastAsia="楷体_GB2312" w:cs="楷体_GB2312"/>
        </w:rPr>
        <w:t>。</w:t>
      </w:r>
      <w:r>
        <w:rPr>
          <w:rFonts w:ascii="楷体_GB2312" w:hAnsi="宋体" w:eastAsia="楷体_GB2312" w:cs="楷体_GB2312"/>
        </w:rPr>
        <w:t>1-3</w:t>
      </w:r>
      <w:r>
        <w:rPr>
          <w:rFonts w:hint="eastAsia" w:ascii="楷体_GB2312" w:hAnsi="宋体" w:eastAsia="楷体_GB2312" w:cs="楷体_GB2312"/>
        </w:rPr>
        <w:t>项可以多选，也可单选；没有勾选的，视为本集中不涉及该类型交易。</w:t>
      </w:r>
    </w:p>
    <w:p>
      <w:pPr>
        <w:spacing w:line="360" w:lineRule="auto"/>
        <w:ind w:firstLine="420" w:firstLineChars="200"/>
        <w:rPr>
          <w:rFonts w:ascii="楷体_GB2312" w:hAnsi="Times New Roman" w:eastAsia="楷体_GB2312" w:cs="Times New Roman"/>
        </w:rPr>
      </w:pPr>
      <w:r>
        <w:rPr>
          <w:rFonts w:ascii="楷体_GB2312" w:hAnsi="宋体" w:eastAsia="楷体_GB2312" w:cs="楷体_GB2312"/>
        </w:rPr>
        <w:t>2</w:t>
      </w:r>
      <w:r>
        <w:rPr>
          <w:rFonts w:hint="eastAsia" w:ascii="楷体_GB2312" w:hAnsi="宋体" w:eastAsia="楷体_GB2312" w:cs="楷体_GB2312"/>
        </w:rPr>
        <w:t>、申报方申请简易案件的理由是基于第</w:t>
      </w:r>
      <w:r>
        <w:rPr>
          <w:rFonts w:ascii="楷体_GB2312" w:hAnsi="宋体" w:eastAsia="楷体_GB2312" w:cs="楷体_GB2312"/>
        </w:rPr>
        <w:t>4</w:t>
      </w:r>
      <w:r>
        <w:rPr>
          <w:rFonts w:hint="eastAsia" w:ascii="楷体_GB2312" w:hAnsi="宋体" w:eastAsia="楷体_GB2312" w:cs="楷体_GB2312"/>
        </w:rPr>
        <w:t>项、第</w:t>
      </w:r>
      <w:r>
        <w:rPr>
          <w:rFonts w:ascii="楷体_GB2312" w:hAnsi="宋体" w:eastAsia="楷体_GB2312" w:cs="楷体_GB2312"/>
        </w:rPr>
        <w:t>5</w:t>
      </w:r>
      <w:r>
        <w:rPr>
          <w:rFonts w:hint="eastAsia" w:ascii="楷体_GB2312" w:hAnsi="宋体" w:eastAsia="楷体_GB2312" w:cs="楷体_GB2312"/>
        </w:rPr>
        <w:t>项时，无须在备注中说明相关市场和市场份额。</w:t>
      </w:r>
      <w:r>
        <w:rPr>
          <w:rFonts w:ascii="楷体_GB2312" w:hAnsi="宋体" w:eastAsia="楷体_GB2312" w:cs="Times New Roman"/>
        </w:rPr>
        <w:br w:type="textWrapping"/>
      </w:r>
      <w:r>
        <w:rPr>
          <w:rFonts w:ascii="楷体_GB2312" w:hAnsi="宋体" w:eastAsia="楷体_GB2312" w:cs="楷体_GB2312"/>
        </w:rPr>
        <w:t xml:space="preserve">    3</w:t>
      </w:r>
      <w:r>
        <w:rPr>
          <w:rFonts w:hint="eastAsia" w:ascii="楷体_GB2312" w:hAnsi="宋体" w:eastAsia="楷体_GB2312" w:cs="楷体_GB2312"/>
        </w:rPr>
        <w:t>、由两个或两个以上经营者共同控制的合营企业，通过集中被其中的一个经营者控制，如果该经营者与合营企业属于同一相关市场的竞争者，则申报方在申请简易案件时，须同时勾选第</w:t>
      </w:r>
      <w:r>
        <w:rPr>
          <w:rFonts w:ascii="楷体_GB2312" w:hAnsi="宋体" w:eastAsia="楷体_GB2312" w:cs="楷体_GB2312"/>
        </w:rPr>
        <w:t>1</w:t>
      </w:r>
      <w:r>
        <w:rPr>
          <w:rFonts w:hint="eastAsia" w:ascii="楷体_GB2312" w:hAnsi="宋体" w:eastAsia="楷体_GB2312" w:cs="楷体_GB2312"/>
        </w:rPr>
        <w:t>项和第</w:t>
      </w:r>
      <w:r>
        <w:rPr>
          <w:rFonts w:ascii="楷体_GB2312" w:hAnsi="宋体" w:eastAsia="楷体_GB2312" w:cs="楷体_GB2312"/>
        </w:rPr>
        <w:t>6</w:t>
      </w:r>
      <w:r>
        <w:rPr>
          <w:rFonts w:hint="eastAsia" w:ascii="楷体_GB2312" w:hAnsi="宋体" w:eastAsia="楷体_GB2312" w:cs="楷体_GB2312"/>
        </w:rPr>
        <w:t>项理由，并在备注中说明界定的相关商品市场和相关地域市场（无须阐述界定理由），以及相关市场份额。市场份额可以区间形式提供，区间幅度不应超过</w:t>
      </w:r>
      <w:r>
        <w:rPr>
          <w:rFonts w:ascii="楷体_GB2312" w:hAnsi="宋体" w:eastAsia="楷体_GB2312" w:cs="楷体_GB2312"/>
        </w:rPr>
        <w:t>5%</w:t>
      </w:r>
      <w:r>
        <w:rPr>
          <w:rFonts w:hint="eastAsia" w:ascii="楷体_GB2312" w:hAnsi="宋体" w:eastAsia="楷体_GB2312" w:cs="楷体_GB2312"/>
        </w:rPr>
        <w:t>。</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65505" cy="15430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65505"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fldChar w:fldCharType="begin"/>
                          </w:r>
                          <w:r>
                            <w:instrText xml:space="preserve"> NUMPAGES  \* MERGEFORMAT </w:instrText>
                          </w:r>
                          <w:r>
                            <w:fldChar w:fldCharType="separate"/>
                          </w:r>
                          <w:r>
                            <w:t>3</w:t>
                          </w:r>
                          <w: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2.15pt;width:68.15pt;mso-position-horizontal:center;mso-position-horizontal-relative:margin;mso-wrap-style:none;z-index:251659264;mso-width-relative:page;mso-height-relative:page;" filled="f" stroked="f" coordsize="21600,21600" o:gfxdata="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GMrjPSAAAABAEAAA8AAAAAAAAAAQAgAAAAIgAAAGRycy9kb3ducmV2LnhtbFBLAQIUABQA&#10;AAAIAIdO4kCL//soLwIAAFMEAAAOAAAAAAAAAAEAIAAAACEBAABkcnMvZTJvRG9jLnhtbFBLBQYA&#10;AAAABgAGAFkBAADCBQAAAAA=&#10;">
              <v:fill on="f" focussize="0,0"/>
              <v:stroke on="f" weight="0.5pt"/>
              <v:imagedata o:title=""/>
              <o:lock v:ext="edit" aspectratio="f"/>
              <v:textbox inset="0mm,0mm,0mm,0mm" style="mso-fit-shape-to-text:t;">
                <w:txbxContent>
                  <w:p>
                    <w:pPr>
                      <w:pStyle w:val="2"/>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fldChar w:fldCharType="begin"/>
                    </w:r>
                    <w:r>
                      <w:instrText xml:space="preserve"> NUMPAGES  \* MERGEFORMAT </w:instrText>
                    </w:r>
                    <w:r>
                      <w:fldChar w:fldCharType="separate"/>
                    </w:r>
                    <w:r>
                      <w:t>3</w:t>
                    </w:r>
                    <w:r>
                      <w:fldChar w:fldCharType="end"/>
                    </w:r>
                    <w:r>
                      <w:rPr>
                        <w:rFonts w:hint="eastAsia"/>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1AC7C5"/>
    <w:multiLevelType w:val="singleLevel"/>
    <w:tmpl w:val="551AC7C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oNotHyphenateCap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36E"/>
    <w:rsid w:val="000042B3"/>
    <w:rsid w:val="0003333C"/>
    <w:rsid w:val="00070575"/>
    <w:rsid w:val="00076F09"/>
    <w:rsid w:val="00086659"/>
    <w:rsid w:val="00092EF2"/>
    <w:rsid w:val="00094DE9"/>
    <w:rsid w:val="000D1186"/>
    <w:rsid w:val="00113D57"/>
    <w:rsid w:val="0012322E"/>
    <w:rsid w:val="00125953"/>
    <w:rsid w:val="00183617"/>
    <w:rsid w:val="001A5566"/>
    <w:rsid w:val="001A5B97"/>
    <w:rsid w:val="001B11CC"/>
    <w:rsid w:val="001D047A"/>
    <w:rsid w:val="002079E1"/>
    <w:rsid w:val="002317A6"/>
    <w:rsid w:val="002613F0"/>
    <w:rsid w:val="002827CB"/>
    <w:rsid w:val="00291FA3"/>
    <w:rsid w:val="002972CC"/>
    <w:rsid w:val="002A2BC2"/>
    <w:rsid w:val="002E4B5A"/>
    <w:rsid w:val="002F462F"/>
    <w:rsid w:val="002F7BB0"/>
    <w:rsid w:val="0030693C"/>
    <w:rsid w:val="00307D0A"/>
    <w:rsid w:val="00360AED"/>
    <w:rsid w:val="00395CF4"/>
    <w:rsid w:val="0039661D"/>
    <w:rsid w:val="003D704F"/>
    <w:rsid w:val="003E0195"/>
    <w:rsid w:val="004022C5"/>
    <w:rsid w:val="0040368A"/>
    <w:rsid w:val="0041162F"/>
    <w:rsid w:val="004404C1"/>
    <w:rsid w:val="00493A1D"/>
    <w:rsid w:val="004B0C10"/>
    <w:rsid w:val="004B669A"/>
    <w:rsid w:val="004C7B45"/>
    <w:rsid w:val="004D5D9C"/>
    <w:rsid w:val="004F20D2"/>
    <w:rsid w:val="00535ACB"/>
    <w:rsid w:val="005369B1"/>
    <w:rsid w:val="00543BC7"/>
    <w:rsid w:val="00546791"/>
    <w:rsid w:val="005547E5"/>
    <w:rsid w:val="005643AC"/>
    <w:rsid w:val="00595DDD"/>
    <w:rsid w:val="005A1145"/>
    <w:rsid w:val="005A1A81"/>
    <w:rsid w:val="005C1A1E"/>
    <w:rsid w:val="005D1B22"/>
    <w:rsid w:val="005E7668"/>
    <w:rsid w:val="005F5716"/>
    <w:rsid w:val="005F5C66"/>
    <w:rsid w:val="0061375C"/>
    <w:rsid w:val="00621019"/>
    <w:rsid w:val="00631F8B"/>
    <w:rsid w:val="006835E1"/>
    <w:rsid w:val="006D44A7"/>
    <w:rsid w:val="00700195"/>
    <w:rsid w:val="00701405"/>
    <w:rsid w:val="00705B65"/>
    <w:rsid w:val="0072293A"/>
    <w:rsid w:val="007329C6"/>
    <w:rsid w:val="00740446"/>
    <w:rsid w:val="00743467"/>
    <w:rsid w:val="0076119A"/>
    <w:rsid w:val="00761EBA"/>
    <w:rsid w:val="00777BEB"/>
    <w:rsid w:val="00783515"/>
    <w:rsid w:val="007927F4"/>
    <w:rsid w:val="007A3CC7"/>
    <w:rsid w:val="007A7075"/>
    <w:rsid w:val="007B7C3C"/>
    <w:rsid w:val="007F11C0"/>
    <w:rsid w:val="007F5E9E"/>
    <w:rsid w:val="00800F4C"/>
    <w:rsid w:val="00845691"/>
    <w:rsid w:val="008606C8"/>
    <w:rsid w:val="00866A12"/>
    <w:rsid w:val="00891501"/>
    <w:rsid w:val="00895611"/>
    <w:rsid w:val="0089785C"/>
    <w:rsid w:val="008C200B"/>
    <w:rsid w:val="008E18A6"/>
    <w:rsid w:val="008E4359"/>
    <w:rsid w:val="008F1BA7"/>
    <w:rsid w:val="00902ACD"/>
    <w:rsid w:val="00947740"/>
    <w:rsid w:val="00966126"/>
    <w:rsid w:val="009842A1"/>
    <w:rsid w:val="009865AF"/>
    <w:rsid w:val="009A6F31"/>
    <w:rsid w:val="009A7CF7"/>
    <w:rsid w:val="009D0913"/>
    <w:rsid w:val="00A11FAE"/>
    <w:rsid w:val="00A16D72"/>
    <w:rsid w:val="00A20D11"/>
    <w:rsid w:val="00A41503"/>
    <w:rsid w:val="00A45097"/>
    <w:rsid w:val="00A92A2C"/>
    <w:rsid w:val="00A94D86"/>
    <w:rsid w:val="00AC6361"/>
    <w:rsid w:val="00AE1DC1"/>
    <w:rsid w:val="00B022D5"/>
    <w:rsid w:val="00B115C7"/>
    <w:rsid w:val="00B15993"/>
    <w:rsid w:val="00B217CD"/>
    <w:rsid w:val="00B950D2"/>
    <w:rsid w:val="00BA5886"/>
    <w:rsid w:val="00BB1C38"/>
    <w:rsid w:val="00BB292A"/>
    <w:rsid w:val="00BD1ACB"/>
    <w:rsid w:val="00BE7AEC"/>
    <w:rsid w:val="00BF2206"/>
    <w:rsid w:val="00C0716C"/>
    <w:rsid w:val="00C117B5"/>
    <w:rsid w:val="00C14C2D"/>
    <w:rsid w:val="00C15AAB"/>
    <w:rsid w:val="00C1636E"/>
    <w:rsid w:val="00C16854"/>
    <w:rsid w:val="00C24C6A"/>
    <w:rsid w:val="00C403C5"/>
    <w:rsid w:val="00C4547F"/>
    <w:rsid w:val="00C46600"/>
    <w:rsid w:val="00C54A02"/>
    <w:rsid w:val="00C667A0"/>
    <w:rsid w:val="00C80DCD"/>
    <w:rsid w:val="00CA5439"/>
    <w:rsid w:val="00CC25E3"/>
    <w:rsid w:val="00CD5515"/>
    <w:rsid w:val="00CE2AD1"/>
    <w:rsid w:val="00CE37B0"/>
    <w:rsid w:val="00D112FF"/>
    <w:rsid w:val="00D63024"/>
    <w:rsid w:val="00D80F30"/>
    <w:rsid w:val="00D91213"/>
    <w:rsid w:val="00D93BB3"/>
    <w:rsid w:val="00DA15FE"/>
    <w:rsid w:val="00DB379D"/>
    <w:rsid w:val="00DB4E02"/>
    <w:rsid w:val="00DE04D6"/>
    <w:rsid w:val="00E1517A"/>
    <w:rsid w:val="00E26781"/>
    <w:rsid w:val="00E40EB4"/>
    <w:rsid w:val="00E571A9"/>
    <w:rsid w:val="00E61328"/>
    <w:rsid w:val="00E62028"/>
    <w:rsid w:val="00E90FB8"/>
    <w:rsid w:val="00E96CFF"/>
    <w:rsid w:val="00EB0283"/>
    <w:rsid w:val="00EB1E3D"/>
    <w:rsid w:val="00EB610C"/>
    <w:rsid w:val="00EC2542"/>
    <w:rsid w:val="00EC4F7E"/>
    <w:rsid w:val="00F164DA"/>
    <w:rsid w:val="00F171A1"/>
    <w:rsid w:val="00F246CE"/>
    <w:rsid w:val="00F36F33"/>
    <w:rsid w:val="00F51F9F"/>
    <w:rsid w:val="00F67E44"/>
    <w:rsid w:val="00F74170"/>
    <w:rsid w:val="00F90518"/>
    <w:rsid w:val="00FB10F7"/>
    <w:rsid w:val="00FC5433"/>
    <w:rsid w:val="00FE47BA"/>
    <w:rsid w:val="00FF1B32"/>
    <w:rsid w:val="00FF6F7A"/>
    <w:rsid w:val="0161547E"/>
    <w:rsid w:val="03D367DC"/>
    <w:rsid w:val="063B200A"/>
    <w:rsid w:val="081364F1"/>
    <w:rsid w:val="096B7459"/>
    <w:rsid w:val="0B511987"/>
    <w:rsid w:val="12764C4F"/>
    <w:rsid w:val="12DC7E45"/>
    <w:rsid w:val="12F86CBD"/>
    <w:rsid w:val="170E1708"/>
    <w:rsid w:val="19CB7DB3"/>
    <w:rsid w:val="1DF12ACB"/>
    <w:rsid w:val="1F9C4D48"/>
    <w:rsid w:val="1FB600FC"/>
    <w:rsid w:val="25DD19A7"/>
    <w:rsid w:val="296F1A91"/>
    <w:rsid w:val="2B1E0C4A"/>
    <w:rsid w:val="31227B7A"/>
    <w:rsid w:val="355F5F89"/>
    <w:rsid w:val="37E12AF7"/>
    <w:rsid w:val="39373C79"/>
    <w:rsid w:val="39A0693F"/>
    <w:rsid w:val="3BB90007"/>
    <w:rsid w:val="3E235F8F"/>
    <w:rsid w:val="460A4E67"/>
    <w:rsid w:val="4CBF7DEB"/>
    <w:rsid w:val="4FF25AA3"/>
    <w:rsid w:val="5081717A"/>
    <w:rsid w:val="52A32367"/>
    <w:rsid w:val="53805E86"/>
    <w:rsid w:val="55396617"/>
    <w:rsid w:val="563F3A76"/>
    <w:rsid w:val="5BD0342E"/>
    <w:rsid w:val="5D692C77"/>
    <w:rsid w:val="60772BEF"/>
    <w:rsid w:val="618E5D1F"/>
    <w:rsid w:val="628524A9"/>
    <w:rsid w:val="62FA4FCC"/>
    <w:rsid w:val="64A40B54"/>
    <w:rsid w:val="66486265"/>
    <w:rsid w:val="680C2142"/>
    <w:rsid w:val="68F2254B"/>
    <w:rsid w:val="690E629E"/>
    <w:rsid w:val="6E5B2D16"/>
    <w:rsid w:val="72176290"/>
    <w:rsid w:val="745A0609"/>
    <w:rsid w:val="7C4B0E7B"/>
    <w:rsid w:val="7E6C55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0" w:name="Table Web 3" w:locked="1"/>
    <w:lsdException w:uiPriority="99" w:name="Balloon Text"/>
    <w:lsdException w:qFormat="1" w:unhideWhenUsed="0" w:uiPriority="0" w:semiHidden="0" w:name="Table Grid" w:locked="1"/>
    <w:lsdException w:uiPriority="0"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99"/>
    <w:pPr>
      <w:tabs>
        <w:tab w:val="center" w:pos="4153"/>
        <w:tab w:val="right" w:pos="8306"/>
      </w:tabs>
      <w:snapToGrid w:val="0"/>
      <w:jc w:val="left"/>
    </w:pPr>
    <w:rPr>
      <w:sz w:val="18"/>
      <w:szCs w:val="18"/>
    </w:rPr>
  </w:style>
  <w:style w:type="paragraph" w:styleId="3">
    <w:name w:val="header"/>
    <w:basedOn w:val="1"/>
    <w:link w:val="7"/>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locked/>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locked/>
    <w:uiPriority w:val="99"/>
    <w:rPr>
      <w:kern w:val="2"/>
      <w:sz w:val="18"/>
      <w:szCs w:val="18"/>
    </w:rPr>
  </w:style>
  <w:style w:type="character" w:customStyle="1" w:styleId="8">
    <w:name w:val="页脚 字符"/>
    <w:basedOn w:val="6"/>
    <w:link w:val="2"/>
    <w:qFormat/>
    <w:locked/>
    <w:uiPriority w:val="99"/>
    <w:rPr>
      <w:kern w:val="2"/>
      <w:sz w:val="18"/>
      <w:szCs w:val="18"/>
    </w:rPr>
  </w:style>
  <w:style w:type="paragraph" w:styleId="9">
    <w:name w:val="List Paragraph"/>
    <w:basedOn w:val="1"/>
    <w:qFormat/>
    <w:uiPriority w:val="34"/>
    <w:pPr>
      <w:adjustRightInd w:val="0"/>
      <w:snapToGrid w:val="0"/>
      <w:spacing w:line="360" w:lineRule="auto"/>
      <w:ind w:firstLine="420" w:firstLineChars="200"/>
      <w:jc w:val="left"/>
    </w:pPr>
    <w:rPr>
      <w:rFonts w:eastAsia="仿宋"/>
      <w:sz w:val="24"/>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205</Words>
  <Characters>1173</Characters>
  <Lines>9</Lines>
  <Paragraphs>2</Paragraphs>
  <TotalTime>0</TotalTime>
  <ScaleCrop>false</ScaleCrop>
  <LinksUpToDate>false</LinksUpToDate>
  <CharactersWithSpaces>1376</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2021-11-08T02:51:00Z</dcterms:created>
  <dc:creator>YINGKE</dc:creator>
  <cp:lastModifiedBy>张洪磊</cp:lastModifiedBy>
  <cp:lastPrinted>2018-07-27T15:30:00Z</cp:lastPrinted>
  <dcterms:modified xsi:type="dcterms:W3CDTF">2021-12-03T00:27:22Z</dcterms:modified>
  <dc:title>经营者集中简易案件公示表</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66A778B9B6814A2688A06A5108AE7329</vt:lpwstr>
  </property>
</Properties>
</file>