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b/>
          <w:bCs/>
          <w:sz w:val="24"/>
          <w:szCs w:val="24"/>
        </w:rPr>
      </w:pPr>
      <w:r>
        <w:rPr>
          <w:rFonts w:ascii="Times New Roman" w:hAnsi="Times New Roman"/>
          <w:b/>
          <w:bCs/>
          <w:sz w:val="24"/>
          <w:szCs w:val="24"/>
        </w:rPr>
        <w:t>经营者集中简易案件公示表</w:t>
      </w:r>
    </w:p>
    <w:p>
      <w:pPr>
        <w:spacing w:line="440" w:lineRule="exact"/>
        <w:jc w:val="center"/>
        <w:rPr>
          <w:rFonts w:ascii="Times New Roman" w:hAnsi="Times New Roman"/>
          <w:sz w:val="28"/>
          <w:szCs w:val="28"/>
        </w:rPr>
      </w:pPr>
    </w:p>
    <w:tbl>
      <w:tblPr>
        <w:tblStyle w:val="9"/>
        <w:tblW w:w="8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3"/>
        <w:gridCol w:w="1770"/>
        <w:gridCol w:w="4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1783" w:type="dxa"/>
            <w:shd w:val="clear" w:color="auto" w:fill="D9D9D9"/>
          </w:tcPr>
          <w:p>
            <w:pPr>
              <w:spacing w:line="500" w:lineRule="exact"/>
              <w:rPr>
                <w:rFonts w:ascii="Times New Roman" w:hAnsi="Times New Roman"/>
                <w:b/>
                <w:bCs/>
                <w:szCs w:val="21"/>
              </w:rPr>
            </w:pPr>
            <w:r>
              <w:rPr>
                <w:rFonts w:ascii="Times New Roman" w:hAnsi="Times New Roman"/>
                <w:b/>
                <w:bCs/>
                <w:szCs w:val="21"/>
              </w:rPr>
              <w:t>案件名称</w:t>
            </w:r>
          </w:p>
        </w:tc>
        <w:tc>
          <w:tcPr>
            <w:tcW w:w="6456" w:type="dxa"/>
            <w:gridSpan w:val="2"/>
            <w:shd w:val="clear" w:color="auto" w:fill="auto"/>
            <w:vAlign w:val="center"/>
          </w:tcPr>
          <w:p>
            <w:pPr>
              <w:spacing w:before="156" w:beforeLines="50" w:after="156" w:afterLines="50"/>
              <w:rPr>
                <w:rFonts w:ascii="Times New Roman" w:hAnsi="Times New Roman"/>
                <w:szCs w:val="21"/>
              </w:rPr>
            </w:pPr>
            <w:r>
              <w:rPr>
                <w:rFonts w:hint="eastAsia" w:ascii="Times New Roman" w:hAnsi="Times New Roman" w:cs="宋体"/>
                <w:kern w:val="0"/>
                <w:szCs w:val="21"/>
              </w:rPr>
              <w:t>淄博星恒途松控股有限公司收购江阴江化微电子材料股份有限公司股权案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9" w:hRule="atLeast"/>
        </w:trPr>
        <w:tc>
          <w:tcPr>
            <w:tcW w:w="1783" w:type="dxa"/>
            <w:shd w:val="clear" w:color="auto" w:fill="D9D9D9"/>
          </w:tcPr>
          <w:p>
            <w:pPr>
              <w:spacing w:line="500" w:lineRule="exact"/>
              <w:rPr>
                <w:rFonts w:ascii="Times New Roman" w:hAnsi="Times New Roman"/>
                <w:b/>
                <w:bCs/>
                <w:szCs w:val="21"/>
              </w:rPr>
            </w:pPr>
            <w:r>
              <w:rPr>
                <w:rFonts w:ascii="Times New Roman" w:hAnsi="Times New Roman"/>
                <w:b/>
                <w:bCs/>
                <w:szCs w:val="21"/>
              </w:rPr>
              <w:t>交易概况（限200字内）</w:t>
            </w:r>
          </w:p>
        </w:tc>
        <w:tc>
          <w:tcPr>
            <w:tcW w:w="6456" w:type="dxa"/>
            <w:gridSpan w:val="2"/>
          </w:tcPr>
          <w:p>
            <w:pPr>
              <w:spacing w:before="156" w:beforeLines="50" w:after="156" w:afterLines="50"/>
              <w:rPr>
                <w:rFonts w:ascii="Times New Roman" w:hAnsi="Times New Roman"/>
                <w:color w:val="000000"/>
                <w:szCs w:val="21"/>
              </w:rPr>
            </w:pPr>
            <w:r>
              <w:rPr>
                <w:rFonts w:hint="eastAsia" w:ascii="Times New Roman" w:hAnsi="Times New Roman"/>
                <w:szCs w:val="21"/>
              </w:rPr>
              <w:t>2</w:t>
            </w:r>
            <w:r>
              <w:rPr>
                <w:rFonts w:ascii="Times New Roman" w:hAnsi="Times New Roman"/>
                <w:szCs w:val="21"/>
              </w:rPr>
              <w:t>021</w:t>
            </w:r>
            <w:r>
              <w:rPr>
                <w:rFonts w:hint="eastAsia" w:ascii="Times New Roman" w:hAnsi="Times New Roman"/>
                <w:szCs w:val="21"/>
              </w:rPr>
              <w:t>年1</w:t>
            </w:r>
            <w:r>
              <w:rPr>
                <w:rFonts w:ascii="Times New Roman" w:hAnsi="Times New Roman"/>
                <w:szCs w:val="21"/>
              </w:rPr>
              <w:t>1</w:t>
            </w:r>
            <w:r>
              <w:rPr>
                <w:rFonts w:hint="eastAsia" w:ascii="Times New Roman" w:hAnsi="Times New Roman"/>
                <w:szCs w:val="21"/>
              </w:rPr>
              <w:t>月1</w:t>
            </w:r>
            <w:r>
              <w:rPr>
                <w:rFonts w:ascii="Times New Roman" w:hAnsi="Times New Roman"/>
                <w:szCs w:val="21"/>
              </w:rPr>
              <w:t>8</w:t>
            </w:r>
            <w:r>
              <w:rPr>
                <w:rFonts w:hint="eastAsia" w:ascii="Times New Roman" w:hAnsi="Times New Roman"/>
                <w:szCs w:val="21"/>
              </w:rPr>
              <w:t>日，淄博星恒途松控股有限公司（“</w:t>
            </w:r>
            <w:r>
              <w:rPr>
                <w:rFonts w:hint="eastAsia" w:ascii="Times New Roman" w:hAnsi="Times New Roman"/>
                <w:b/>
                <w:bCs/>
                <w:szCs w:val="21"/>
              </w:rPr>
              <w:t>淄博星恒途松</w:t>
            </w:r>
            <w:r>
              <w:rPr>
                <w:rFonts w:hint="eastAsia" w:ascii="Times New Roman" w:hAnsi="Times New Roman"/>
                <w:szCs w:val="21"/>
              </w:rPr>
              <w:t>”）与殷福华、季文庆、镇江市杰华投资有限公司（“</w:t>
            </w:r>
            <w:r>
              <w:rPr>
                <w:rFonts w:hint="eastAsia" w:ascii="Times New Roman" w:hAnsi="Times New Roman"/>
                <w:b/>
                <w:bCs/>
                <w:szCs w:val="21"/>
              </w:rPr>
              <w:t>杰华投资</w:t>
            </w:r>
            <w:r>
              <w:rPr>
                <w:rFonts w:hint="eastAsia" w:ascii="Times New Roman" w:hAnsi="Times New Roman"/>
                <w:szCs w:val="21"/>
              </w:rPr>
              <w:t>”）、江阴江化微电子材料股份有限公司（“</w:t>
            </w:r>
            <w:r>
              <w:rPr>
                <w:rFonts w:hint="eastAsia" w:ascii="Times New Roman" w:hAnsi="Times New Roman"/>
                <w:b/>
                <w:bCs/>
                <w:szCs w:val="21"/>
              </w:rPr>
              <w:t>江化微</w:t>
            </w:r>
            <w:r>
              <w:rPr>
                <w:rFonts w:hint="eastAsia" w:ascii="Times New Roman" w:hAnsi="Times New Roman"/>
                <w:szCs w:val="21"/>
              </w:rPr>
              <w:t>”）等签订《股份转让协议》及《非公开发行股份认购协议》，约定淄博星恒途松收购殷福华、季文庆、杰华投资合计持有的江化微22,448,620股非限售流通股份，并认购江化微</w:t>
            </w:r>
            <w:r>
              <w:rPr>
                <w:rFonts w:ascii="Times New Roman" w:hAnsi="Times New Roman"/>
                <w:szCs w:val="21"/>
              </w:rPr>
              <w:t>34,739,454</w:t>
            </w:r>
            <w:r>
              <w:rPr>
                <w:rFonts w:hint="eastAsia" w:ascii="Times New Roman" w:hAnsi="Times New Roman"/>
                <w:szCs w:val="21"/>
              </w:rPr>
              <w:t>股非公开发行股份，共计收购江化微2</w:t>
            </w:r>
            <w:r>
              <w:rPr>
                <w:rFonts w:ascii="Times New Roman" w:hAnsi="Times New Roman"/>
                <w:szCs w:val="21"/>
              </w:rPr>
              <w:t>4.79</w:t>
            </w:r>
            <w:r>
              <w:rPr>
                <w:rFonts w:hint="eastAsia" w:ascii="Times New Roman" w:hAnsi="Times New Roman"/>
                <w:szCs w:val="21"/>
              </w:rPr>
              <w:t>%的股权。（“</w:t>
            </w:r>
            <w:r>
              <w:rPr>
                <w:rFonts w:hint="eastAsia" w:ascii="Times New Roman" w:hAnsi="Times New Roman"/>
                <w:b/>
                <w:bCs/>
                <w:szCs w:val="21"/>
              </w:rPr>
              <w:t>拟议交易</w:t>
            </w:r>
            <w:r>
              <w:rPr>
                <w:rFonts w:hint="eastAsia" w:ascii="Times New Roman" w:hAnsi="Times New Roman"/>
                <w:szCs w:val="21"/>
              </w:rPr>
              <w:t>”）拟议交易完成后，淄博星恒途松将成为江化微的控股股东与实际控制人，并同时获得江化微反垄断法意义上的单独控制权。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1783" w:type="dxa"/>
            <w:vMerge w:val="restart"/>
            <w:shd w:val="clear" w:color="auto" w:fill="D9D9D9"/>
          </w:tcPr>
          <w:p>
            <w:pPr>
              <w:spacing w:line="500" w:lineRule="exact"/>
              <w:rPr>
                <w:rFonts w:ascii="Times New Roman" w:hAnsi="Times New Roman"/>
                <w:b/>
                <w:bCs/>
                <w:szCs w:val="21"/>
              </w:rPr>
            </w:pPr>
            <w:r>
              <w:rPr>
                <w:rFonts w:ascii="Times New Roman" w:hAnsi="Times New Roman"/>
                <w:b/>
                <w:bCs/>
                <w:szCs w:val="21"/>
              </w:rPr>
              <w:t>参与集中的经营者简介</w:t>
            </w:r>
          </w:p>
        </w:tc>
        <w:tc>
          <w:tcPr>
            <w:tcW w:w="1770" w:type="dxa"/>
          </w:tcPr>
          <w:p>
            <w:pPr>
              <w:pStyle w:val="20"/>
              <w:numPr>
                <w:ilvl w:val="0"/>
                <w:numId w:val="1"/>
              </w:numPr>
              <w:spacing w:before="156" w:beforeLines="50" w:after="156" w:afterLines="50"/>
              <w:ind w:firstLineChars="0"/>
              <w:rPr>
                <w:rFonts w:ascii="Times New Roman" w:hAnsi="Times New Roman"/>
                <w:szCs w:val="21"/>
              </w:rPr>
            </w:pPr>
            <w:r>
              <w:rPr>
                <w:rFonts w:hint="eastAsia" w:ascii="Times New Roman" w:hAnsi="Times New Roman"/>
                <w:szCs w:val="21"/>
              </w:rPr>
              <w:t>淄博星恒途松</w:t>
            </w:r>
          </w:p>
        </w:tc>
        <w:tc>
          <w:tcPr>
            <w:tcW w:w="4686" w:type="dxa"/>
          </w:tcPr>
          <w:p>
            <w:pPr>
              <w:spacing w:before="156" w:beforeLines="50" w:after="156" w:afterLines="50"/>
              <w:rPr>
                <w:rFonts w:ascii="Times New Roman" w:hAnsi="Times New Roman"/>
                <w:szCs w:val="21"/>
              </w:rPr>
            </w:pPr>
            <w:r>
              <w:rPr>
                <w:rFonts w:hint="eastAsia" w:ascii="Times New Roman" w:hAnsi="Times New Roman"/>
                <w:szCs w:val="21"/>
              </w:rPr>
              <w:t>淄博星恒途松于2</w:t>
            </w:r>
            <w:r>
              <w:rPr>
                <w:rFonts w:ascii="Times New Roman" w:hAnsi="Times New Roman"/>
                <w:szCs w:val="21"/>
              </w:rPr>
              <w:t>021</w:t>
            </w:r>
            <w:r>
              <w:rPr>
                <w:rFonts w:hint="eastAsia" w:ascii="Times New Roman" w:hAnsi="Times New Roman"/>
                <w:szCs w:val="21"/>
              </w:rPr>
              <w:t>年9月成立于山东省淄博市，主要业务为投资控股。淄博星恒途松的最终控制人为淄博市财政局。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trPr>
        <w:tc>
          <w:tcPr>
            <w:tcW w:w="1783" w:type="dxa"/>
            <w:vMerge w:val="continue"/>
            <w:shd w:val="clear" w:color="auto" w:fill="D9D9D9"/>
          </w:tcPr>
          <w:p>
            <w:pPr>
              <w:spacing w:line="500" w:lineRule="exact"/>
              <w:rPr>
                <w:rFonts w:ascii="Times New Roman" w:hAnsi="Times New Roman"/>
                <w:szCs w:val="21"/>
              </w:rPr>
            </w:pPr>
          </w:p>
        </w:tc>
        <w:tc>
          <w:tcPr>
            <w:tcW w:w="1770" w:type="dxa"/>
          </w:tcPr>
          <w:p>
            <w:pPr>
              <w:pStyle w:val="20"/>
              <w:numPr>
                <w:ilvl w:val="0"/>
                <w:numId w:val="1"/>
              </w:numPr>
              <w:spacing w:before="156" w:beforeLines="50" w:after="156" w:afterLines="50"/>
              <w:ind w:firstLineChars="0"/>
              <w:rPr>
                <w:rFonts w:ascii="Times New Roman" w:hAnsi="Times New Roman"/>
                <w:szCs w:val="21"/>
              </w:rPr>
            </w:pPr>
            <w:r>
              <w:rPr>
                <w:rFonts w:hint="eastAsia" w:ascii="Times New Roman" w:hAnsi="Times New Roman"/>
                <w:szCs w:val="21"/>
              </w:rPr>
              <w:t>江化微</w:t>
            </w:r>
          </w:p>
        </w:tc>
        <w:tc>
          <w:tcPr>
            <w:tcW w:w="4686" w:type="dxa"/>
          </w:tcPr>
          <w:p>
            <w:pPr>
              <w:spacing w:before="156" w:beforeLines="50" w:after="156" w:afterLines="50"/>
              <w:rPr>
                <w:rFonts w:ascii="Times New Roman" w:hAnsi="Times New Roman"/>
                <w:color w:val="000000"/>
                <w:szCs w:val="21"/>
              </w:rPr>
            </w:pPr>
            <w:r>
              <w:rPr>
                <w:rFonts w:hint="eastAsia" w:ascii="Times New Roman" w:hAnsi="Times New Roman"/>
                <w:color w:val="000000"/>
                <w:szCs w:val="21"/>
              </w:rPr>
              <w:t>江化微于2</w:t>
            </w:r>
            <w:r>
              <w:rPr>
                <w:rFonts w:ascii="Times New Roman" w:hAnsi="Times New Roman"/>
                <w:color w:val="000000"/>
                <w:szCs w:val="21"/>
              </w:rPr>
              <w:t>001</w:t>
            </w:r>
            <w:r>
              <w:rPr>
                <w:rFonts w:hint="eastAsia" w:ascii="Times New Roman" w:hAnsi="Times New Roman"/>
                <w:color w:val="000000"/>
                <w:szCs w:val="21"/>
              </w:rPr>
              <w:t>年8月成立于江苏省江阴市，主要业务为湿电子化学品的研发、生产和销售。江化微目前的最终控制人为中国籍自然人殷福华，殷福华主要通过江化微从事湿电子化学品的研发、生产和销售。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1783" w:type="dxa"/>
            <w:vMerge w:val="restart"/>
            <w:shd w:val="clear" w:color="auto" w:fill="D9D9D9"/>
          </w:tcPr>
          <w:p>
            <w:pPr>
              <w:spacing w:line="500" w:lineRule="exact"/>
              <w:rPr>
                <w:rFonts w:ascii="Times New Roman" w:hAnsi="Times New Roman"/>
                <w:b/>
                <w:bCs/>
                <w:szCs w:val="21"/>
              </w:rPr>
            </w:pPr>
            <w:r>
              <w:rPr>
                <w:rFonts w:ascii="Times New Roman" w:hAnsi="Times New Roman"/>
                <w:b/>
                <w:bCs/>
                <w:szCs w:val="21"/>
              </w:rPr>
              <w:t>简易案件理由（可以单选，也可以多选）</w:t>
            </w:r>
          </w:p>
        </w:tc>
        <w:tc>
          <w:tcPr>
            <w:tcW w:w="6456"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1783" w:type="dxa"/>
            <w:vMerge w:val="continue"/>
            <w:shd w:val="clear" w:color="auto" w:fill="D9D9D9"/>
          </w:tcPr>
          <w:p>
            <w:pPr>
              <w:spacing w:line="500" w:lineRule="exact"/>
              <w:rPr>
                <w:rFonts w:ascii="Times New Roman" w:hAnsi="Times New Roman"/>
                <w:szCs w:val="21"/>
              </w:rPr>
            </w:pPr>
          </w:p>
        </w:tc>
        <w:tc>
          <w:tcPr>
            <w:tcW w:w="6456"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cs="Arial"/>
                <w:szCs w:val="21"/>
                <w:lang w:val="en-GB"/>
              </w:rPr>
              <w:t xml:space="preserve"> </w:t>
            </w:r>
            <w:r>
              <w:rPr>
                <w:rFonts w:ascii="Times New Roman" w:hAnsi="Times New Roman"/>
                <w:szCs w:val="2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1783" w:type="dxa"/>
            <w:vMerge w:val="continue"/>
            <w:shd w:val="clear" w:color="auto" w:fill="D9D9D9"/>
          </w:tcPr>
          <w:p>
            <w:pPr>
              <w:spacing w:line="500" w:lineRule="exact"/>
              <w:rPr>
                <w:rFonts w:ascii="Times New Roman" w:hAnsi="Times New Roman"/>
                <w:szCs w:val="21"/>
              </w:rPr>
            </w:pPr>
          </w:p>
        </w:tc>
        <w:tc>
          <w:tcPr>
            <w:tcW w:w="6456" w:type="dxa"/>
            <w:gridSpan w:val="2"/>
          </w:tcPr>
          <w:p>
            <w:pPr>
              <w:spacing w:line="500" w:lineRule="exact"/>
              <w:rPr>
                <w:rFonts w:ascii="Times New Roman" w:hAnsi="Times New Roman"/>
                <w:szCs w:val="21"/>
              </w:rPr>
            </w:pPr>
            <w:r>
              <w:rPr>
                <w:rFonts w:hint="eastAsia" w:ascii="Times New Roman" w:hAnsi="Times New Roman"/>
                <w:szCs w:val="21"/>
              </w:rPr>
              <w:sym w:font="Wingdings" w:char="F0FE"/>
            </w:r>
            <w:r>
              <w:rPr>
                <w:rFonts w:ascii="Times New Roman" w:hAnsi="Times New Roman"/>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1783" w:type="dxa"/>
            <w:vMerge w:val="continue"/>
            <w:shd w:val="clear" w:color="auto" w:fill="D9D9D9"/>
          </w:tcPr>
          <w:p>
            <w:pPr>
              <w:spacing w:line="500" w:lineRule="exact"/>
              <w:rPr>
                <w:rFonts w:ascii="Times New Roman" w:hAnsi="Times New Roman"/>
                <w:szCs w:val="21"/>
              </w:rPr>
            </w:pPr>
          </w:p>
        </w:tc>
        <w:tc>
          <w:tcPr>
            <w:tcW w:w="6456"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1783" w:type="dxa"/>
            <w:vMerge w:val="continue"/>
            <w:shd w:val="clear" w:color="auto" w:fill="D9D9D9"/>
          </w:tcPr>
          <w:p>
            <w:pPr>
              <w:spacing w:line="500" w:lineRule="exact"/>
              <w:rPr>
                <w:rFonts w:ascii="Times New Roman" w:hAnsi="Times New Roman"/>
                <w:szCs w:val="21"/>
              </w:rPr>
            </w:pPr>
          </w:p>
        </w:tc>
        <w:tc>
          <w:tcPr>
            <w:tcW w:w="6456"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1783" w:type="dxa"/>
            <w:vMerge w:val="continue"/>
            <w:shd w:val="clear" w:color="auto" w:fill="D9D9D9"/>
          </w:tcPr>
          <w:p>
            <w:pPr>
              <w:spacing w:line="500" w:lineRule="exact"/>
              <w:rPr>
                <w:rFonts w:ascii="Times New Roman" w:hAnsi="Times New Roman"/>
                <w:szCs w:val="21"/>
              </w:rPr>
            </w:pPr>
          </w:p>
        </w:tc>
        <w:tc>
          <w:tcPr>
            <w:tcW w:w="6456" w:type="dxa"/>
            <w:gridSpan w:val="2"/>
          </w:tcPr>
          <w:p>
            <w:pPr>
              <w:spacing w:line="500" w:lineRule="exact"/>
              <w:rPr>
                <w:rFonts w:ascii="Times New Roman" w:hAnsi="Times New Roman"/>
                <w:szCs w:val="21"/>
              </w:rPr>
            </w:pPr>
            <w:r>
              <w:rPr>
                <w:rFonts w:ascii="Times New Roman" w:hAnsi="Times New Roman" w:cs="Arial"/>
                <w:szCs w:val="21"/>
                <w:lang w:val="en-GB"/>
              </w:rPr>
              <w:sym w:font="Wingdings" w:char="F0A8"/>
            </w:r>
            <w:r>
              <w:rPr>
                <w:rFonts w:ascii="Times New Roman" w:hAnsi="Times New Roman"/>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0" w:hRule="atLeast"/>
        </w:trPr>
        <w:tc>
          <w:tcPr>
            <w:tcW w:w="1783" w:type="dxa"/>
            <w:shd w:val="clear" w:color="auto" w:fill="D9D9D9"/>
          </w:tcPr>
          <w:p>
            <w:pPr>
              <w:spacing w:line="500" w:lineRule="exact"/>
              <w:rPr>
                <w:rFonts w:ascii="Times New Roman" w:hAnsi="Times New Roman"/>
                <w:b/>
                <w:bCs/>
                <w:szCs w:val="21"/>
              </w:rPr>
            </w:pPr>
            <w:r>
              <w:rPr>
                <w:rFonts w:ascii="Times New Roman" w:hAnsi="Times New Roman"/>
                <w:b/>
                <w:bCs/>
                <w:szCs w:val="21"/>
              </w:rPr>
              <w:t>备注</w:t>
            </w:r>
          </w:p>
        </w:tc>
        <w:tc>
          <w:tcPr>
            <w:tcW w:w="6456" w:type="dxa"/>
            <w:gridSpan w:val="2"/>
          </w:tcPr>
          <w:p>
            <w:pPr>
              <w:widowControl/>
              <w:snapToGrid w:val="0"/>
              <w:rPr>
                <w:rFonts w:ascii="Times New Roman" w:hAnsi="Times New Roman"/>
                <w:szCs w:val="21"/>
              </w:rPr>
            </w:pPr>
            <w:r>
              <w:rPr>
                <w:rFonts w:ascii="Times New Roman" w:hAnsi="Times New Roman"/>
                <w:szCs w:val="21"/>
              </w:rPr>
              <w:t>相关市场及市场份额</w:t>
            </w:r>
          </w:p>
          <w:p>
            <w:pPr>
              <w:widowControl/>
              <w:snapToGrid w:val="0"/>
              <w:rPr>
                <w:rFonts w:ascii="Times New Roman" w:hAnsi="Times New Roman"/>
                <w:szCs w:val="21"/>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gridCol w:w="1699"/>
              <w:gridCol w:w="2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shd w:val="clear" w:color="auto" w:fill="D8D8D8" w:themeFill="background1" w:themeFillShade="D9"/>
                </w:tcPr>
                <w:p>
                  <w:pPr>
                    <w:snapToGrid w:val="0"/>
                    <w:spacing w:after="156" w:afterLines="50"/>
                    <w:rPr>
                      <w:rFonts w:ascii="Times New Roman" w:hAnsi="Times New Roman"/>
                      <w:b/>
                      <w:bCs/>
                      <w:szCs w:val="21"/>
                    </w:rPr>
                  </w:pPr>
                  <w:r>
                    <w:rPr>
                      <w:rFonts w:ascii="Times New Roman" w:hAnsi="Times New Roman"/>
                      <w:b/>
                      <w:bCs/>
                      <w:szCs w:val="21"/>
                    </w:rPr>
                    <w:t>相关商品市场</w:t>
                  </w:r>
                </w:p>
              </w:tc>
              <w:tc>
                <w:tcPr>
                  <w:tcW w:w="1843" w:type="dxa"/>
                  <w:shd w:val="clear" w:color="auto" w:fill="D8D8D8" w:themeFill="background1" w:themeFillShade="D9"/>
                </w:tcPr>
                <w:p>
                  <w:pPr>
                    <w:snapToGrid w:val="0"/>
                    <w:spacing w:after="156" w:afterLines="50"/>
                    <w:rPr>
                      <w:rFonts w:ascii="Times New Roman" w:hAnsi="Times New Roman"/>
                      <w:b/>
                      <w:bCs/>
                      <w:szCs w:val="21"/>
                    </w:rPr>
                  </w:pPr>
                  <w:r>
                    <w:rPr>
                      <w:rFonts w:ascii="Times New Roman" w:hAnsi="Times New Roman"/>
                      <w:b/>
                      <w:bCs/>
                      <w:szCs w:val="21"/>
                    </w:rPr>
                    <w:t>相关地域市场</w:t>
                  </w:r>
                </w:p>
              </w:tc>
              <w:tc>
                <w:tcPr>
                  <w:tcW w:w="2690" w:type="dxa"/>
                  <w:shd w:val="clear" w:color="auto" w:fill="D8D8D8" w:themeFill="background1" w:themeFillShade="D9"/>
                </w:tcPr>
                <w:p>
                  <w:pPr>
                    <w:snapToGrid w:val="0"/>
                    <w:spacing w:after="156" w:afterLines="50"/>
                    <w:rPr>
                      <w:rFonts w:ascii="Times New Roman" w:hAnsi="Times New Roman"/>
                      <w:b/>
                      <w:bCs/>
                      <w:szCs w:val="21"/>
                    </w:rPr>
                  </w:pPr>
                  <w:r>
                    <w:rPr>
                      <w:rFonts w:ascii="Times New Roman" w:hAnsi="Times New Roman"/>
                      <w:b/>
                      <w:bCs/>
                      <w:szCs w:val="21"/>
                    </w:rPr>
                    <w:t>市场份额数据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Pr>
                <w:p>
                  <w:pPr>
                    <w:snapToGrid w:val="0"/>
                    <w:spacing w:after="156" w:afterLines="50"/>
                    <w:rPr>
                      <w:rFonts w:ascii="Times New Roman" w:hAnsi="Times New Roman"/>
                      <w:szCs w:val="21"/>
                    </w:rPr>
                  </w:pPr>
                  <w:r>
                    <w:rPr>
                      <w:rFonts w:hint="eastAsia" w:ascii="Times New Roman" w:hAnsi="Times New Roman"/>
                      <w:szCs w:val="21"/>
                    </w:rPr>
                    <w:t>正胶剥离液市场</w:t>
                  </w:r>
                </w:p>
              </w:tc>
              <w:tc>
                <w:tcPr>
                  <w:tcW w:w="1843" w:type="dxa"/>
                </w:tcPr>
                <w:p>
                  <w:pPr>
                    <w:snapToGrid w:val="0"/>
                    <w:spacing w:after="156" w:afterLines="50"/>
                    <w:rPr>
                      <w:rFonts w:ascii="Times New Roman" w:hAnsi="Times New Roman"/>
                      <w:szCs w:val="21"/>
                    </w:rPr>
                  </w:pPr>
                  <w:r>
                    <w:rPr>
                      <w:rFonts w:hint="eastAsia" w:ascii="Times New Roman" w:hAnsi="Times New Roman"/>
                      <w:szCs w:val="21"/>
                    </w:rPr>
                    <w:t>中国境内</w:t>
                  </w:r>
                </w:p>
              </w:tc>
              <w:tc>
                <w:tcPr>
                  <w:tcW w:w="2690" w:type="dxa"/>
                </w:tcPr>
                <w:p>
                  <w:pPr>
                    <w:snapToGrid w:val="0"/>
                    <w:spacing w:after="156" w:afterLines="50"/>
                    <w:rPr>
                      <w:rFonts w:ascii="Times New Roman" w:hAnsi="Times New Roman"/>
                      <w:szCs w:val="21"/>
                    </w:rPr>
                  </w:pPr>
                  <w:r>
                    <w:rPr>
                      <w:rFonts w:hint="eastAsia" w:ascii="Times New Roman" w:hAnsi="Times New Roman"/>
                      <w:szCs w:val="21"/>
                    </w:rPr>
                    <w:t>江化微：[</w:t>
                  </w:r>
                  <w:r>
                    <w:rPr>
                      <w:rFonts w:ascii="Times New Roman" w:hAnsi="Times New Roman"/>
                      <w:szCs w:val="21"/>
                    </w:rPr>
                    <w:t>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Pr>
                <w:p>
                  <w:pPr>
                    <w:snapToGrid w:val="0"/>
                    <w:spacing w:after="156" w:afterLines="50"/>
                    <w:rPr>
                      <w:rFonts w:ascii="Times New Roman" w:hAnsi="Times New Roman"/>
                      <w:szCs w:val="21"/>
                    </w:rPr>
                  </w:pPr>
                  <w:r>
                    <w:rPr>
                      <w:rFonts w:hint="eastAsia" w:ascii="Times New Roman" w:hAnsi="Times New Roman"/>
                      <w:szCs w:val="21"/>
                    </w:rPr>
                    <w:t>铝蚀刻液市场</w:t>
                  </w:r>
                </w:p>
              </w:tc>
              <w:tc>
                <w:tcPr>
                  <w:tcW w:w="1843" w:type="dxa"/>
                </w:tcPr>
                <w:p>
                  <w:pPr>
                    <w:snapToGrid w:val="0"/>
                    <w:spacing w:after="156" w:afterLines="50"/>
                    <w:rPr>
                      <w:rFonts w:ascii="Times New Roman" w:hAnsi="Times New Roman"/>
                      <w:szCs w:val="21"/>
                    </w:rPr>
                  </w:pPr>
                  <w:r>
                    <w:rPr>
                      <w:rFonts w:hint="eastAsia" w:ascii="Times New Roman" w:hAnsi="Times New Roman"/>
                      <w:szCs w:val="21"/>
                    </w:rPr>
                    <w:t>中国境内</w:t>
                  </w:r>
                </w:p>
              </w:tc>
              <w:tc>
                <w:tcPr>
                  <w:tcW w:w="2690" w:type="dxa"/>
                </w:tcPr>
                <w:p>
                  <w:pPr>
                    <w:snapToGrid w:val="0"/>
                    <w:spacing w:after="156" w:afterLines="50"/>
                    <w:rPr>
                      <w:rFonts w:ascii="Times New Roman" w:hAnsi="Times New Roman"/>
                      <w:szCs w:val="21"/>
                    </w:rPr>
                  </w:pPr>
                  <w:r>
                    <w:rPr>
                      <w:rFonts w:hint="eastAsia" w:ascii="Times New Roman" w:hAnsi="Times New Roman"/>
                      <w:szCs w:val="21"/>
                    </w:rPr>
                    <w:t>江化微：[</w:t>
                  </w:r>
                  <w:r>
                    <w:rPr>
                      <w:rFonts w:ascii="Times New Roman" w:hAnsi="Times New Roman"/>
                      <w:szCs w:val="21"/>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0" w:type="dxa"/>
                </w:tcPr>
                <w:p>
                  <w:pPr>
                    <w:snapToGrid w:val="0"/>
                    <w:spacing w:after="156" w:afterLines="50"/>
                    <w:rPr>
                      <w:rFonts w:ascii="Times New Roman" w:hAnsi="Times New Roman"/>
                      <w:szCs w:val="21"/>
                    </w:rPr>
                  </w:pPr>
                  <w:r>
                    <w:rPr>
                      <w:rFonts w:hint="eastAsia" w:ascii="Times New Roman" w:hAnsi="Times New Roman"/>
                      <w:szCs w:val="21"/>
                    </w:rPr>
                    <w:t>负胶显影液市场</w:t>
                  </w:r>
                </w:p>
              </w:tc>
              <w:tc>
                <w:tcPr>
                  <w:tcW w:w="1843" w:type="dxa"/>
                </w:tcPr>
                <w:p>
                  <w:pPr>
                    <w:snapToGrid w:val="0"/>
                    <w:spacing w:after="156" w:afterLines="50"/>
                    <w:rPr>
                      <w:rFonts w:ascii="Times New Roman" w:hAnsi="Times New Roman"/>
                      <w:szCs w:val="21"/>
                    </w:rPr>
                  </w:pPr>
                  <w:r>
                    <w:rPr>
                      <w:rFonts w:hint="eastAsia" w:ascii="Times New Roman" w:hAnsi="Times New Roman"/>
                      <w:szCs w:val="21"/>
                    </w:rPr>
                    <w:t>中国境内</w:t>
                  </w:r>
                </w:p>
              </w:tc>
              <w:tc>
                <w:tcPr>
                  <w:tcW w:w="2690" w:type="dxa"/>
                </w:tcPr>
                <w:p>
                  <w:pPr>
                    <w:snapToGrid w:val="0"/>
                    <w:spacing w:after="156" w:afterLines="50"/>
                    <w:rPr>
                      <w:rFonts w:ascii="Times New Roman" w:hAnsi="Times New Roman"/>
                      <w:szCs w:val="21"/>
                    </w:rPr>
                  </w:pPr>
                  <w:r>
                    <w:rPr>
                      <w:rFonts w:hint="eastAsia" w:ascii="Times New Roman" w:hAnsi="Times New Roman"/>
                      <w:szCs w:val="21"/>
                    </w:rPr>
                    <w:t>江化微：[</w:t>
                  </w:r>
                  <w:r>
                    <w:rPr>
                      <w:rFonts w:ascii="Times New Roman" w:hAnsi="Times New Roman"/>
                      <w:szCs w:val="21"/>
                    </w:rPr>
                    <w:t>0-5]%</w:t>
                  </w:r>
                </w:p>
              </w:tc>
            </w:tr>
          </w:tbl>
          <w:p>
            <w:pPr>
              <w:widowControl/>
              <w:snapToGrid w:val="0"/>
              <w:ind w:left="420"/>
              <w:rPr>
                <w:rFonts w:ascii="Times New Roman" w:hAnsi="Times New Roman"/>
                <w:szCs w:val="21"/>
              </w:rPr>
            </w:pPr>
          </w:p>
        </w:tc>
      </w:tr>
    </w:tbl>
    <w:p>
      <w:pPr>
        <w:snapToGrid w:val="0"/>
        <w:spacing w:line="240" w:lineRule="exact"/>
        <w:jc w:val="left"/>
        <w:rPr>
          <w:rFonts w:ascii="Times New Roman" w:hAnsi="Times New Roman"/>
          <w:sz w:val="28"/>
          <w:szCs w:val="28"/>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Arial">
    <w:panose1 w:val="020B0604020202020204"/>
    <w:charset w:val="00"/>
    <w:family w:val="swiss"/>
    <w:pitch w:val="default"/>
    <w:sig w:usb0="E0002EFF" w:usb1="C000785B" w:usb2="00000009" w:usb3="00000000" w:csb0="400001FF" w:csb1="FFFF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9376438"/>
      <w:docPartObj>
        <w:docPartGallery w:val="AutoText"/>
      </w:docPartObj>
    </w:sdtPr>
    <w:sdtEndPr>
      <w:rPr>
        <w:rFonts w:ascii="Times New Roman" w:hAnsi="Times New Roman"/>
      </w:rPr>
    </w:sdtEndPr>
    <w:sdtContent>
      <w:sdt>
        <w:sdtPr>
          <w:id w:val="1728636285"/>
          <w:docPartObj>
            <w:docPartGallery w:val="AutoText"/>
          </w:docPartObj>
        </w:sdtPr>
        <w:sdtEndPr>
          <w:rPr>
            <w:rFonts w:ascii="Times New Roman" w:hAnsi="Times New Roman"/>
          </w:rPr>
        </w:sdtEndPr>
        <w:sdtContent>
          <w:p>
            <w:pPr>
              <w:pStyle w:val="5"/>
              <w:jc w:val="center"/>
              <w:rPr>
                <w:rFonts w:ascii="Times New Roman" w:hAnsi="Times New Roman"/>
              </w:rPr>
            </w:pPr>
            <w:r>
              <w:rPr>
                <w:rFonts w:ascii="Times New Roman" w:hAnsi="Times New Roman"/>
                <w:lang w:val="zh-CN"/>
              </w:rPr>
              <w:t xml:space="preserve"> </w:t>
            </w:r>
            <w:r>
              <w:rPr>
                <w:rFonts w:ascii="Times New Roman" w:hAnsi="Times New Roman"/>
                <w:b/>
                <w:bCs/>
                <w:sz w:val="24"/>
                <w:szCs w:val="24"/>
              </w:rPr>
              <w:fldChar w:fldCharType="begin"/>
            </w:r>
            <w:r>
              <w:rPr>
                <w:rFonts w:ascii="Times New Roman" w:hAnsi="Times New Roman"/>
                <w:b/>
                <w:bCs/>
              </w:rPr>
              <w:instrText xml:space="preserve">PAGE</w:instrText>
            </w:r>
            <w:r>
              <w:rPr>
                <w:rFonts w:ascii="Times New Roman" w:hAnsi="Times New Roman"/>
                <w:b/>
                <w:bCs/>
                <w:sz w:val="24"/>
                <w:szCs w:val="24"/>
              </w:rPr>
              <w:fldChar w:fldCharType="separate"/>
            </w:r>
            <w:r>
              <w:rPr>
                <w:rFonts w:ascii="Times New Roman" w:hAnsi="Times New Roman"/>
                <w:b/>
                <w:bCs/>
                <w:lang w:val="zh-CN"/>
              </w:rPr>
              <w:t>2</w:t>
            </w:r>
            <w:r>
              <w:rPr>
                <w:rFonts w:ascii="Times New Roman" w:hAnsi="Times New Roman"/>
                <w:b/>
                <w:bCs/>
                <w:sz w:val="24"/>
                <w:szCs w:val="24"/>
              </w:rPr>
              <w:fldChar w:fldCharType="end"/>
            </w:r>
            <w:r>
              <w:rPr>
                <w:rFonts w:ascii="Times New Roman" w:hAnsi="Times New Roman"/>
                <w:lang w:val="zh-CN"/>
              </w:rPr>
              <w:t xml:space="preserve"> / </w:t>
            </w:r>
            <w:r>
              <w:rPr>
                <w:rFonts w:ascii="Times New Roman" w:hAnsi="Times New Roman"/>
                <w:b/>
                <w:bCs/>
                <w:sz w:val="24"/>
                <w:szCs w:val="24"/>
              </w:rPr>
              <w:fldChar w:fldCharType="begin"/>
            </w:r>
            <w:r>
              <w:rPr>
                <w:rFonts w:ascii="Times New Roman" w:hAnsi="Times New Roman"/>
                <w:b/>
                <w:bCs/>
              </w:rPr>
              <w:instrText xml:space="preserve">NUMPAGES</w:instrText>
            </w:r>
            <w:r>
              <w:rPr>
                <w:rFonts w:ascii="Times New Roman" w:hAnsi="Times New Roman"/>
                <w:b/>
                <w:bCs/>
                <w:sz w:val="24"/>
                <w:szCs w:val="24"/>
              </w:rPr>
              <w:fldChar w:fldCharType="separate"/>
            </w:r>
            <w:r>
              <w:rPr>
                <w:rFonts w:ascii="Times New Roman" w:hAnsi="Times New Roman"/>
                <w:b/>
                <w:bCs/>
                <w:lang w:val="zh-CN"/>
              </w:rPr>
              <w:t>2</w:t>
            </w:r>
            <w:r>
              <w:rPr>
                <w:rFonts w:ascii="Times New Roman" w:hAnsi="Times New Roman"/>
                <w:b/>
                <w:bCs/>
                <w:sz w:val="24"/>
                <w:szCs w:val="24"/>
              </w:rPr>
              <w:fldChar w:fldCharType="end"/>
            </w:r>
          </w:p>
        </w:sdtContent>
      </w:sdt>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6A4903"/>
    <w:multiLevelType w:val="multilevel"/>
    <w:tmpl w:val="1C6A49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45507"/>
    <w:rsid w:val="0005594E"/>
    <w:rsid w:val="00082738"/>
    <w:rsid w:val="00087D30"/>
    <w:rsid w:val="000917F0"/>
    <w:rsid w:val="00094095"/>
    <w:rsid w:val="000A3CA7"/>
    <w:rsid w:val="000B0EC8"/>
    <w:rsid w:val="000C5BC7"/>
    <w:rsid w:val="000E7FC9"/>
    <w:rsid w:val="000F74C0"/>
    <w:rsid w:val="00100B60"/>
    <w:rsid w:val="00113543"/>
    <w:rsid w:val="00117B9E"/>
    <w:rsid w:val="00137BCF"/>
    <w:rsid w:val="001417D8"/>
    <w:rsid w:val="00165964"/>
    <w:rsid w:val="001913F9"/>
    <w:rsid w:val="00192C2C"/>
    <w:rsid w:val="00193065"/>
    <w:rsid w:val="001C1B23"/>
    <w:rsid w:val="001E393B"/>
    <w:rsid w:val="0020313A"/>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C306B"/>
    <w:rsid w:val="003C75D7"/>
    <w:rsid w:val="003D3128"/>
    <w:rsid w:val="003D60DB"/>
    <w:rsid w:val="003F170C"/>
    <w:rsid w:val="004030E1"/>
    <w:rsid w:val="00427074"/>
    <w:rsid w:val="00445F6B"/>
    <w:rsid w:val="00462174"/>
    <w:rsid w:val="004B00C8"/>
    <w:rsid w:val="004B3A56"/>
    <w:rsid w:val="004C2586"/>
    <w:rsid w:val="00507D9C"/>
    <w:rsid w:val="005227F4"/>
    <w:rsid w:val="00557102"/>
    <w:rsid w:val="00563A4C"/>
    <w:rsid w:val="00566CC7"/>
    <w:rsid w:val="00574F2D"/>
    <w:rsid w:val="005B533D"/>
    <w:rsid w:val="005C3D32"/>
    <w:rsid w:val="005D1309"/>
    <w:rsid w:val="005D1B7F"/>
    <w:rsid w:val="005F167B"/>
    <w:rsid w:val="005F5FFA"/>
    <w:rsid w:val="006113D3"/>
    <w:rsid w:val="00616F24"/>
    <w:rsid w:val="006300C0"/>
    <w:rsid w:val="006447F2"/>
    <w:rsid w:val="00644C5B"/>
    <w:rsid w:val="0067330C"/>
    <w:rsid w:val="00675286"/>
    <w:rsid w:val="00692DA5"/>
    <w:rsid w:val="006A4D58"/>
    <w:rsid w:val="006A4F76"/>
    <w:rsid w:val="006A5728"/>
    <w:rsid w:val="006B49BF"/>
    <w:rsid w:val="006D0734"/>
    <w:rsid w:val="006E0846"/>
    <w:rsid w:val="006E4C68"/>
    <w:rsid w:val="00720227"/>
    <w:rsid w:val="00720679"/>
    <w:rsid w:val="007364E2"/>
    <w:rsid w:val="0074694B"/>
    <w:rsid w:val="00785C5F"/>
    <w:rsid w:val="007A0249"/>
    <w:rsid w:val="007A6C61"/>
    <w:rsid w:val="007C000E"/>
    <w:rsid w:val="007C7803"/>
    <w:rsid w:val="008010AD"/>
    <w:rsid w:val="0080386C"/>
    <w:rsid w:val="008354FF"/>
    <w:rsid w:val="0084303C"/>
    <w:rsid w:val="008736FC"/>
    <w:rsid w:val="008750C5"/>
    <w:rsid w:val="008764AD"/>
    <w:rsid w:val="00877D76"/>
    <w:rsid w:val="00885D99"/>
    <w:rsid w:val="008926BD"/>
    <w:rsid w:val="0089745C"/>
    <w:rsid w:val="008A7ED7"/>
    <w:rsid w:val="008C10CC"/>
    <w:rsid w:val="008F634B"/>
    <w:rsid w:val="00900557"/>
    <w:rsid w:val="009134D0"/>
    <w:rsid w:val="0093344B"/>
    <w:rsid w:val="0095347A"/>
    <w:rsid w:val="009733B4"/>
    <w:rsid w:val="0097529A"/>
    <w:rsid w:val="00997099"/>
    <w:rsid w:val="009A7BF2"/>
    <w:rsid w:val="009B22D1"/>
    <w:rsid w:val="009B5555"/>
    <w:rsid w:val="009C1D9D"/>
    <w:rsid w:val="009C5ACB"/>
    <w:rsid w:val="009E544B"/>
    <w:rsid w:val="009F7FE9"/>
    <w:rsid w:val="00A22F7E"/>
    <w:rsid w:val="00A43A3E"/>
    <w:rsid w:val="00A67610"/>
    <w:rsid w:val="00A73519"/>
    <w:rsid w:val="00A73EC0"/>
    <w:rsid w:val="00A77BD3"/>
    <w:rsid w:val="00AA1A78"/>
    <w:rsid w:val="00AB1BC4"/>
    <w:rsid w:val="00AD646B"/>
    <w:rsid w:val="00AE4C10"/>
    <w:rsid w:val="00B01090"/>
    <w:rsid w:val="00B34D88"/>
    <w:rsid w:val="00B357DC"/>
    <w:rsid w:val="00B60E5E"/>
    <w:rsid w:val="00BA0750"/>
    <w:rsid w:val="00BA16D2"/>
    <w:rsid w:val="00BA4F7F"/>
    <w:rsid w:val="00BA6F07"/>
    <w:rsid w:val="00BA7437"/>
    <w:rsid w:val="00BB2377"/>
    <w:rsid w:val="00BB3798"/>
    <w:rsid w:val="00BB4C43"/>
    <w:rsid w:val="00BC44C2"/>
    <w:rsid w:val="00BC6BEF"/>
    <w:rsid w:val="00BD3D34"/>
    <w:rsid w:val="00BD6EBE"/>
    <w:rsid w:val="00BF0D84"/>
    <w:rsid w:val="00BF6C60"/>
    <w:rsid w:val="00BF7F17"/>
    <w:rsid w:val="00C068D5"/>
    <w:rsid w:val="00C20325"/>
    <w:rsid w:val="00C318CE"/>
    <w:rsid w:val="00C52346"/>
    <w:rsid w:val="00C76979"/>
    <w:rsid w:val="00C8184D"/>
    <w:rsid w:val="00C9068E"/>
    <w:rsid w:val="00CD148B"/>
    <w:rsid w:val="00CD25EE"/>
    <w:rsid w:val="00CD2BEC"/>
    <w:rsid w:val="00D001A9"/>
    <w:rsid w:val="00D21777"/>
    <w:rsid w:val="00D2453A"/>
    <w:rsid w:val="00D370A7"/>
    <w:rsid w:val="00D451A4"/>
    <w:rsid w:val="00D515E7"/>
    <w:rsid w:val="00D73A38"/>
    <w:rsid w:val="00DA3B19"/>
    <w:rsid w:val="00DC70AB"/>
    <w:rsid w:val="00DE39D7"/>
    <w:rsid w:val="00DE7DBD"/>
    <w:rsid w:val="00DF4BCE"/>
    <w:rsid w:val="00E11C0D"/>
    <w:rsid w:val="00E25016"/>
    <w:rsid w:val="00E32A0C"/>
    <w:rsid w:val="00E34BA1"/>
    <w:rsid w:val="00E54B29"/>
    <w:rsid w:val="00EB0EE6"/>
    <w:rsid w:val="00EC669A"/>
    <w:rsid w:val="00ED21B1"/>
    <w:rsid w:val="00ED4254"/>
    <w:rsid w:val="00EE2784"/>
    <w:rsid w:val="00EE4AF0"/>
    <w:rsid w:val="00F16269"/>
    <w:rsid w:val="00F234B2"/>
    <w:rsid w:val="00F26A0F"/>
    <w:rsid w:val="00F418F4"/>
    <w:rsid w:val="00F41E5F"/>
    <w:rsid w:val="00F42BAC"/>
    <w:rsid w:val="00F5086B"/>
    <w:rsid w:val="00F87C1F"/>
    <w:rsid w:val="00FD4A2C"/>
    <w:rsid w:val="00FE3C66"/>
    <w:rsid w:val="00FE4CAC"/>
    <w:rsid w:val="00FF2D6D"/>
    <w:rsid w:val="392728C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2"/>
    <w:semiHidden/>
    <w:unhideWhenUsed/>
    <w:qFormat/>
    <w:uiPriority w:val="99"/>
    <w:pPr>
      <w:jc w:val="left"/>
    </w:pPr>
  </w:style>
  <w:style w:type="paragraph" w:styleId="3">
    <w:name w:val="endnote text"/>
    <w:basedOn w:val="1"/>
    <w:link w:val="15"/>
    <w:semiHidden/>
    <w:unhideWhenUsed/>
    <w:uiPriority w:val="99"/>
    <w:pPr>
      <w:snapToGrid w:val="0"/>
      <w:jc w:val="left"/>
    </w:pPr>
  </w:style>
  <w:style w:type="paragraph" w:styleId="4">
    <w:name w:val="Balloon Text"/>
    <w:basedOn w:val="1"/>
    <w:link w:val="18"/>
    <w:semiHidden/>
    <w:unhideWhenUsed/>
    <w:qFormat/>
    <w:uiPriority w:val="99"/>
    <w:rPr>
      <w:sz w:val="18"/>
      <w:szCs w:val="18"/>
    </w:rPr>
  </w:style>
  <w:style w:type="paragraph" w:styleId="5">
    <w:name w:val="footer"/>
    <w:basedOn w:val="1"/>
    <w:link w:val="17"/>
    <w:unhideWhenUsed/>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21"/>
    <w:semiHidden/>
    <w:qFormat/>
    <w:uiPriority w:val="99"/>
    <w:pPr>
      <w:snapToGrid w:val="0"/>
      <w:jc w:val="left"/>
    </w:pPr>
    <w:rPr>
      <w:rFonts w:ascii="Times New Roman" w:hAnsi="Times New Roman" w:eastAsia="PMingLiU"/>
      <w:sz w:val="20"/>
      <w:szCs w:val="20"/>
      <w:lang w:eastAsia="zh-TW"/>
    </w:rPr>
  </w:style>
  <w:style w:type="paragraph" w:styleId="8">
    <w:name w:val="annotation subject"/>
    <w:basedOn w:val="2"/>
    <w:next w:val="2"/>
    <w:link w:val="23"/>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ndnote reference"/>
    <w:semiHidden/>
    <w:unhideWhenUsed/>
    <w:qFormat/>
    <w:uiPriority w:val="99"/>
    <w:rPr>
      <w:vertAlign w:val="superscript"/>
    </w:rPr>
  </w:style>
  <w:style w:type="character" w:styleId="13">
    <w:name w:val="annotation reference"/>
    <w:basedOn w:val="11"/>
    <w:unhideWhenUsed/>
    <w:qFormat/>
    <w:uiPriority w:val="0"/>
    <w:rPr>
      <w:sz w:val="21"/>
      <w:szCs w:val="21"/>
    </w:rPr>
  </w:style>
  <w:style w:type="character" w:styleId="14">
    <w:name w:val="footnote reference"/>
    <w:semiHidden/>
    <w:unhideWhenUsed/>
    <w:qFormat/>
    <w:uiPriority w:val="99"/>
    <w:rPr>
      <w:vertAlign w:val="superscript"/>
    </w:rPr>
  </w:style>
  <w:style w:type="character" w:customStyle="1" w:styleId="15">
    <w:name w:val="尾注文本 字符"/>
    <w:basedOn w:val="11"/>
    <w:link w:val="3"/>
    <w:semiHidden/>
    <w:qFormat/>
    <w:uiPriority w:val="99"/>
  </w:style>
  <w:style w:type="character" w:customStyle="1" w:styleId="16">
    <w:name w:val="页眉 字符"/>
    <w:link w:val="6"/>
    <w:uiPriority w:val="99"/>
    <w:rPr>
      <w:sz w:val="18"/>
      <w:szCs w:val="18"/>
    </w:rPr>
  </w:style>
  <w:style w:type="character" w:customStyle="1" w:styleId="17">
    <w:name w:val="页脚 字符"/>
    <w:link w:val="5"/>
    <w:uiPriority w:val="99"/>
    <w:rPr>
      <w:sz w:val="18"/>
      <w:szCs w:val="18"/>
    </w:rPr>
  </w:style>
  <w:style w:type="character" w:customStyle="1" w:styleId="18">
    <w:name w:val="批注框文本 字符"/>
    <w:link w:val="4"/>
    <w:semiHidden/>
    <w:qFormat/>
    <w:uiPriority w:val="99"/>
    <w:rPr>
      <w:kern w:val="2"/>
      <w:sz w:val="18"/>
      <w:szCs w:val="18"/>
    </w:rPr>
  </w:style>
  <w:style w:type="paragraph" w:customStyle="1" w:styleId="19">
    <w:name w:val="列出段落1"/>
    <w:basedOn w:val="1"/>
    <w:qFormat/>
    <w:uiPriority w:val="34"/>
    <w:pPr>
      <w:ind w:firstLine="420" w:firstLineChars="200"/>
    </w:pPr>
  </w:style>
  <w:style w:type="paragraph" w:styleId="20">
    <w:name w:val="List Paragraph"/>
    <w:basedOn w:val="1"/>
    <w:qFormat/>
    <w:uiPriority w:val="34"/>
    <w:pPr>
      <w:ind w:firstLine="420" w:firstLineChars="200"/>
    </w:pPr>
  </w:style>
  <w:style w:type="character" w:customStyle="1" w:styleId="21">
    <w:name w:val="脚注文本 字符"/>
    <w:link w:val="7"/>
    <w:semiHidden/>
    <w:qFormat/>
    <w:uiPriority w:val="99"/>
    <w:rPr>
      <w:rFonts w:ascii="Times New Roman" w:hAnsi="Times New Roman" w:eastAsia="PMingLiU"/>
      <w:kern w:val="2"/>
      <w:lang w:eastAsia="zh-TW"/>
    </w:rPr>
  </w:style>
  <w:style w:type="character" w:customStyle="1" w:styleId="22">
    <w:name w:val="批注文字 字符"/>
    <w:basedOn w:val="11"/>
    <w:link w:val="2"/>
    <w:semiHidden/>
    <w:uiPriority w:val="99"/>
    <w:rPr>
      <w:kern w:val="2"/>
      <w:sz w:val="21"/>
      <w:szCs w:val="22"/>
    </w:rPr>
  </w:style>
  <w:style w:type="character" w:customStyle="1" w:styleId="23">
    <w:name w:val="批注主题 字符"/>
    <w:basedOn w:val="22"/>
    <w:link w:val="8"/>
    <w:semiHidden/>
    <w:qFormat/>
    <w:uiPriority w:val="99"/>
    <w:rPr>
      <w:b/>
      <w:bCs/>
      <w:kern w:val="2"/>
      <w:sz w:val="21"/>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763693-A3FD-4DD1-8691-FA7229CA4225}">
  <ds:schemaRefs/>
</ds:datastoreItem>
</file>

<file path=docProps/app.xml><?xml version="1.0" encoding="utf-8"?>
<Properties xmlns="http://schemas.openxmlformats.org/officeDocument/2006/extended-properties" xmlns:vt="http://schemas.openxmlformats.org/officeDocument/2006/docPropsVTypes">
  <Template>Normal</Template>
  <Company>新日鐵住金株式会社</Company>
  <Pages>2</Pages>
  <Words>135</Words>
  <Characters>776</Characters>
  <Lines>6</Lines>
  <Paragraphs>1</Paragraphs>
  <TotalTime>12</TotalTime>
  <ScaleCrop>false</ScaleCrop>
  <LinksUpToDate>false</LinksUpToDate>
  <CharactersWithSpaces>910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2021-05-07T01:42:00Z</dcterms:created>
  <dc:creator>dell</dc:creator>
  <cp:lastModifiedBy>张洪磊</cp:lastModifiedBy>
  <cp:lastPrinted>2017-01-18T07:04:00Z</cp:lastPrinted>
  <dcterms:modified xsi:type="dcterms:W3CDTF">2021-12-20T02:11:05Z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