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/>
        <w:snapToGrid/>
        <w:spacing w:line="440" w:lineRule="exact"/>
        <w:jc w:val="center"/>
        <w:rPr>
          <w:rFonts w:ascii="Arial" w:hAnsi="Arial" w:eastAsia="楷体_GB2312" w:cs="Arial"/>
          <w:b/>
          <w:color w:val="auto"/>
          <w:kern w:val="0"/>
          <w:sz w:val="24"/>
          <w:szCs w:val="21"/>
          <w:lang w:val="en-GB" w:bidi="ar-AE"/>
        </w:rPr>
      </w:pPr>
      <w:r>
        <w:rPr>
          <w:rFonts w:ascii="Arial" w:hAnsi="Arial" w:eastAsia="楷体_GB2312" w:cs="Arial"/>
          <w:b/>
          <w:color w:val="auto"/>
          <w:kern w:val="0"/>
          <w:sz w:val="24"/>
          <w:szCs w:val="21"/>
          <w:lang w:val="en-GB" w:bidi="ar-AE"/>
        </w:rPr>
        <w:t>经营者集中简易案件公示表</w:t>
      </w:r>
    </w:p>
    <w:p>
      <w:pPr>
        <w:adjustRightInd/>
        <w:spacing w:after="120"/>
        <w:rPr>
          <w:rFonts w:ascii="Arial" w:hAnsi="Arial" w:eastAsia="楷体_GB2312" w:cs="Arial"/>
          <w:color w:val="auto"/>
          <w:szCs w:val="21"/>
        </w:rPr>
      </w:pPr>
    </w:p>
    <w:tbl>
      <w:tblPr>
        <w:tblStyle w:val="28"/>
        <w:tblW w:w="92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1764"/>
        <w:gridCol w:w="5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案件名称</w:t>
            </w: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瑞科坎特伯雷钟声私人有限公司与</w:t>
            </w: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  <w:lang w:val="en-US" w:eastAsia="zh-CN"/>
              </w:rPr>
              <w:t>112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投资有限责任公司等经营者新设合营企业案（“本次交易”）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交易概况</w:t>
            </w:r>
          </w:p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（限200字内）</w:t>
            </w:r>
          </w:p>
        </w:tc>
        <w:tc>
          <w:tcPr>
            <w:tcW w:w="7366" w:type="dxa"/>
            <w:gridSpan w:val="2"/>
          </w:tcPr>
          <w:p>
            <w:pPr>
              <w:pStyle w:val="13"/>
              <w:spacing w:after="0" w:line="240" w:lineRule="auto"/>
              <w:rPr>
                <w:rFonts w:cs="Arial"/>
                <w:b/>
                <w:color w:val="auto"/>
                <w:kern w:val="0"/>
                <w:sz w:val="21"/>
              </w:rPr>
            </w:pPr>
            <w:r>
              <w:rPr>
                <w:rFonts w:cs="Arial"/>
                <w:b/>
                <w:color w:val="auto"/>
                <w:kern w:val="0"/>
                <w:sz w:val="21"/>
              </w:rPr>
              <w:t>瑞科坎特伯雷钟声私人有限公司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（</w:t>
            </w:r>
            <w:r>
              <w:rPr>
                <w:rFonts w:cs="Arial"/>
                <w:b/>
                <w:color w:val="auto"/>
                <w:sz w:val="21"/>
              </w:rPr>
              <w:t>Reco Canterbury Bells Private Limited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，以下简称“瑞科坎特”</w:t>
            </w:r>
            <w:r>
              <w:rPr>
                <w:rFonts w:hint="eastAsia" w:cs="Arial"/>
                <w:b/>
                <w:color w:val="auto"/>
                <w:kern w:val="0"/>
                <w:sz w:val="21"/>
              </w:rPr>
              <w:t>)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、</w:t>
            </w:r>
            <w:r>
              <w:rPr>
                <w:rFonts w:hint="eastAsia" w:cs="Arial"/>
                <w:b/>
                <w:color w:val="auto"/>
                <w:kern w:val="0"/>
                <w:sz w:val="21"/>
                <w:lang w:val="en-US" w:eastAsia="zh-CN"/>
              </w:rPr>
              <w:t>112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投资有限责任公司（</w:t>
            </w:r>
            <w:bookmarkStart w:id="0" w:name="OLE_LINK11"/>
            <w:r>
              <w:rPr>
                <w:rFonts w:cs="Arial"/>
                <w:b/>
                <w:color w:val="auto"/>
                <w:sz w:val="21"/>
              </w:rPr>
              <w:t>One Hundred and Twelve Investment Company LLC</w:t>
            </w:r>
            <w:bookmarkEnd w:id="0"/>
            <w:r>
              <w:rPr>
                <w:rFonts w:cs="Arial"/>
                <w:b/>
                <w:color w:val="auto"/>
                <w:kern w:val="0"/>
                <w:sz w:val="21"/>
              </w:rPr>
              <w:t>，以下简称“</w:t>
            </w:r>
            <w:bookmarkStart w:id="2" w:name="_GoBack"/>
            <w:bookmarkEnd w:id="2"/>
            <w:r>
              <w:rPr>
                <w:rFonts w:hint="eastAsia" w:cs="Arial"/>
                <w:b/>
                <w:color w:val="auto"/>
                <w:kern w:val="0"/>
                <w:sz w:val="21"/>
                <w:lang w:eastAsia="zh-CN"/>
              </w:rPr>
              <w:t>112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投资”）、宝稳维斯特房地产投资人私人有限公司（</w:t>
            </w:r>
            <w:bookmarkStart w:id="1" w:name="OLE_LINK4"/>
            <w:r>
              <w:rPr>
                <w:rFonts w:cs="Arial"/>
                <w:b/>
                <w:color w:val="auto"/>
                <w:sz w:val="21"/>
              </w:rPr>
              <w:t>Bouwinvest Real Estate Investors B.V</w:t>
            </w:r>
            <w:bookmarkEnd w:id="1"/>
            <w:r>
              <w:rPr>
                <w:rFonts w:cs="Arial"/>
                <w:b/>
                <w:color w:val="auto"/>
                <w:sz w:val="21"/>
              </w:rPr>
              <w:t>.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 xml:space="preserve"> ，以下简称“宝稳维斯特”）和LKLV发起人投资私人有限公司（</w:t>
            </w:r>
            <w:r>
              <w:rPr>
                <w:rFonts w:cs="Arial"/>
                <w:b/>
                <w:color w:val="auto"/>
                <w:sz w:val="21"/>
              </w:rPr>
              <w:t>LKLV Sponsor Investment Pte. Ltd.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，以下简称“LKLV发起人”）拟共同设立一个合营企业，即乐歌韩国物流风险投资有限合伙企业（LOGOS South Korea Logistics Venture LP ，以下简称 “合营企业”）。瑞科坎特、</w:t>
            </w:r>
            <w:r>
              <w:rPr>
                <w:rFonts w:hint="eastAsia" w:cs="Arial"/>
                <w:b/>
                <w:color w:val="auto"/>
                <w:kern w:val="0"/>
                <w:sz w:val="21"/>
                <w:lang w:eastAsia="zh-CN"/>
              </w:rPr>
              <w:t>112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投资、宝稳维斯特和LKLV发起人将分别认购合营企业</w:t>
            </w:r>
            <w:r>
              <w:rPr>
                <w:rFonts w:cs="Arial"/>
                <w:b/>
                <w:color w:val="auto"/>
                <w:sz w:val="21"/>
              </w:rPr>
              <w:t>39.1%、34.2%、22.7%和3.9%权益。</w:t>
            </w:r>
          </w:p>
          <w:p>
            <w:pPr>
              <w:pStyle w:val="13"/>
              <w:spacing w:after="0" w:line="240" w:lineRule="auto"/>
              <w:rPr>
                <w:rFonts w:cs="Arial"/>
                <w:b/>
                <w:color w:val="auto"/>
                <w:kern w:val="0"/>
                <w:sz w:val="21"/>
              </w:rPr>
            </w:pPr>
          </w:p>
          <w:p>
            <w:pPr>
              <w:pStyle w:val="13"/>
              <w:spacing w:after="0" w:line="240" w:lineRule="auto"/>
              <w:rPr>
                <w:rFonts w:cs="Arial"/>
                <w:b/>
                <w:color w:val="auto"/>
                <w:kern w:val="0"/>
                <w:sz w:val="21"/>
              </w:rPr>
            </w:pPr>
            <w:r>
              <w:rPr>
                <w:rFonts w:cs="Arial"/>
                <w:b/>
                <w:color w:val="auto"/>
                <w:kern w:val="0"/>
                <w:sz w:val="21"/>
              </w:rPr>
              <w:t>本次交易后，瑞科坎特、</w:t>
            </w:r>
            <w:r>
              <w:rPr>
                <w:rFonts w:hint="eastAsia" w:cs="Arial"/>
                <w:b/>
                <w:color w:val="auto"/>
                <w:kern w:val="0"/>
                <w:sz w:val="21"/>
                <w:lang w:eastAsia="zh-CN"/>
              </w:rPr>
              <w:t>112</w:t>
            </w:r>
            <w:r>
              <w:rPr>
                <w:rFonts w:cs="Arial"/>
                <w:b/>
                <w:color w:val="auto"/>
                <w:kern w:val="0"/>
                <w:sz w:val="21"/>
              </w:rPr>
              <w:t>投资和宝稳维斯特将共同控制合营企业。</w:t>
            </w:r>
          </w:p>
          <w:p>
            <w:pPr>
              <w:pStyle w:val="13"/>
              <w:spacing w:after="0" w:line="240" w:lineRule="auto"/>
              <w:rPr>
                <w:rFonts w:cs="Arial"/>
                <w:b/>
                <w:color w:val="auto"/>
                <w:kern w:val="0"/>
                <w:sz w:val="21"/>
              </w:rPr>
            </w:pPr>
          </w:p>
          <w:p>
            <w:pPr>
              <w:pStyle w:val="13"/>
              <w:spacing w:after="0" w:line="240" w:lineRule="auto"/>
              <w:rPr>
                <w:rFonts w:cs="Arial"/>
                <w:b/>
                <w:color w:val="auto"/>
                <w:kern w:val="0"/>
                <w:sz w:val="21"/>
              </w:rPr>
            </w:pPr>
            <w:r>
              <w:rPr>
                <w:rFonts w:cs="Arial"/>
                <w:b/>
                <w:color w:val="auto"/>
                <w:kern w:val="0"/>
                <w:sz w:val="21"/>
              </w:rPr>
              <w:t>合营企业将在韩国特定目标城市投资物流开发项目。</w:t>
            </w:r>
          </w:p>
          <w:p>
            <w:pPr>
              <w:pStyle w:val="13"/>
              <w:spacing w:after="0" w:line="240" w:lineRule="auto"/>
              <w:rPr>
                <w:rFonts w:cs="Arial"/>
                <w:color w:val="auto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  <w:t>参与集中的</w:t>
            </w:r>
          </w:p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  <w:t>经营者简介</w:t>
            </w: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240"/>
              <w:jc w:val="left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瑞科坎特</w:t>
            </w:r>
          </w:p>
        </w:tc>
        <w:tc>
          <w:tcPr>
            <w:tcW w:w="5602" w:type="dxa"/>
          </w:tcPr>
          <w:p>
            <w:pPr>
              <w:widowControl/>
              <w:rPr>
                <w:rFonts w:ascii="Arial" w:hAnsi="Arial" w:eastAsia="楷体_GB2312" w:cs="Arial"/>
                <w:b/>
                <w:color w:val="auto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szCs w:val="21"/>
              </w:rPr>
              <w:t>瑞科坎特成立于2020年7月，住所为亚洲新加坡罗宾逊路168号资本大厦#37-0，其主要业务是在韩国进行物流房地产投资。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240"/>
              <w:jc w:val="left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  <w:lang w:eastAsia="zh-CN"/>
              </w:rPr>
              <w:t>112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投资</w:t>
            </w:r>
          </w:p>
        </w:tc>
        <w:tc>
          <w:tcPr>
            <w:tcW w:w="5602" w:type="dxa"/>
          </w:tcPr>
          <w:p>
            <w:pPr>
              <w:widowControl/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/>
              </w:rPr>
            </w:pPr>
            <w:r>
              <w:rPr>
                <w:rFonts w:hint="eastAsia" w:ascii="Arial" w:hAnsi="Arial" w:eastAsia="楷体_GB2312" w:cs="Arial"/>
                <w:b/>
                <w:color w:val="auto"/>
                <w:kern w:val="0"/>
                <w:szCs w:val="21"/>
                <w:lang w:val="en-GB" w:eastAsia="zh-CN"/>
              </w:rPr>
              <w:t>112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/>
              </w:rPr>
              <w:t>投资公司成立于2021年5月10日，其住所为</w:t>
            </w:r>
            <w:r>
              <w:rPr>
                <w:rFonts w:ascii="Arial" w:hAnsi="Arial" w:eastAsia="楷体_GB2312" w:cs="Arial"/>
                <w:b/>
                <w:color w:val="auto"/>
                <w:szCs w:val="21"/>
              </w:rPr>
              <w:t>亚洲 阿拉伯联合酋长国阿布扎比，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/>
              </w:rPr>
              <w:t>主营业务是在韩国投资物流资产。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1764" w:type="dxa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240"/>
              <w:jc w:val="left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宝稳维斯特</w:t>
            </w:r>
          </w:p>
        </w:tc>
        <w:tc>
          <w:tcPr>
            <w:tcW w:w="5602" w:type="dxa"/>
          </w:tcPr>
          <w:p>
            <w:pPr>
              <w:widowControl/>
              <w:rPr>
                <w:rFonts w:ascii="Arial" w:hAnsi="Arial" w:eastAsia="楷体_GB2312" w:cs="Arial"/>
                <w:b/>
                <w:color w:val="auto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szCs w:val="21"/>
              </w:rPr>
              <w:t>宝稳维斯特成立于</w:t>
            </w: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t>1951年1月23日，住所为</w:t>
            </w:r>
            <w:r>
              <w:rPr>
                <w:rFonts w:ascii="Arial" w:hAnsi="Arial" w:eastAsia="楷体_GB2312" w:cs="Arial"/>
                <w:b/>
                <w:color w:val="auto"/>
                <w:szCs w:val="21"/>
              </w:rPr>
              <w:t>荷兰阿姆斯特丹拉瓜迪亚路4号，主营业务是为建筑工人的养老基金从事投资活动。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917" w:type="dxa"/>
            <w:vMerge w:val="restart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bidi="ar-AE"/>
              </w:rPr>
              <w:t>简易案件理由（可以单选，也可以多选）</w:t>
            </w: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  <w:sym w:font="Wingdings" w:char="F0FE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17" w:type="dxa"/>
            <w:vMerge w:val="continue"/>
            <w:shd w:val="clear" w:color="auto" w:fill="D9D9D9"/>
            <w:vAlign w:val="center"/>
          </w:tcPr>
          <w:p>
            <w:pPr>
              <w:adjustRightInd/>
              <w:spacing w:after="120"/>
              <w:jc w:val="center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</w:p>
        </w:tc>
        <w:tc>
          <w:tcPr>
            <w:tcW w:w="7366" w:type="dxa"/>
            <w:gridSpan w:val="2"/>
            <w:vAlign w:val="center"/>
          </w:tcPr>
          <w:p>
            <w:pPr>
              <w:adjustRightInd/>
              <w:spacing w:after="120"/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</w:pP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sym w:font="Wingdings" w:char="F0A8"/>
            </w:r>
            <w:r>
              <w:rPr>
                <w:rFonts w:ascii="Arial" w:hAnsi="Arial" w:eastAsia="楷体_GB2312" w:cs="Arial"/>
                <w:color w:val="auto"/>
                <w:kern w:val="0"/>
                <w:szCs w:val="21"/>
                <w:lang w:val="en-GB" w:bidi="ar-AE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917" w:type="dxa"/>
            <w:shd w:val="clear" w:color="auto" w:fill="D9D9D9"/>
            <w:vAlign w:val="center"/>
          </w:tcPr>
          <w:p>
            <w:pPr>
              <w:pStyle w:val="3"/>
              <w:widowControl/>
              <w:adjustRightInd/>
              <w:snapToGrid/>
              <w:spacing w:after="240"/>
              <w:rPr>
                <w:rFonts w:ascii="Arial" w:hAnsi="Arial" w:eastAsia="楷体_GB2312" w:cs="Arial"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kern w:val="0"/>
                <w:szCs w:val="21"/>
                <w:lang w:val="en-GB" w:eastAsia="en-GB" w:bidi="ar-AE"/>
              </w:rPr>
              <w:t>备注</w:t>
            </w:r>
          </w:p>
        </w:tc>
        <w:tc>
          <w:tcPr>
            <w:tcW w:w="7366" w:type="dxa"/>
            <w:gridSpan w:val="2"/>
          </w:tcPr>
          <w:p>
            <w:pPr>
              <w:adjustRightInd/>
              <w:spacing w:after="120"/>
              <w:rPr>
                <w:rFonts w:ascii="Arial" w:hAnsi="Arial" w:eastAsia="楷体_GB2312" w:cs="Arial"/>
                <w:b/>
                <w:color w:val="auto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color w:val="auto"/>
                <w:szCs w:val="21"/>
              </w:rPr>
              <w:t>本次交易适用简易案件的理由是第4条“参与集中的经营者在中国境外设立合营企业，合营企业不在中国境内从事经济活动”，故而不适用。</w:t>
            </w:r>
          </w:p>
        </w:tc>
      </w:tr>
    </w:tbl>
    <w:p>
      <w:pPr>
        <w:pStyle w:val="13"/>
        <w:rPr>
          <w:rFonts w:cs="Arial"/>
          <w:color w:val="auto"/>
          <w:sz w:val="21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7"/>
      <w:lvlText w:val="•"/>
      <w:lvlJc w:val="left"/>
      <w:pPr>
        <w:ind w:left="2438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8"/>
      <w:lvlText w:val="-"/>
      <w:lvlJc w:val="left"/>
      <w:pPr>
        <w:ind w:left="2438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32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6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0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5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9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3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764" w:hanging="420"/>
      </w:pPr>
      <w:rPr>
        <w:rFonts w:hint="default" w:ascii="Wingdings" w:hAnsi="Wingdings"/>
      </w:rPr>
    </w:lvl>
  </w:abstractNum>
  <w:abstractNum w:abstractNumId="1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DA225B"/>
    <w:multiLevelType w:val="multilevel"/>
    <w:tmpl w:val="10DA225B"/>
    <w:lvl w:ilvl="0" w:tentative="0">
      <w:start w:val="1"/>
      <w:numFmt w:val="decimal"/>
      <w:pStyle w:val="69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70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71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2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3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1ACB0D08"/>
    <w:multiLevelType w:val="multilevel"/>
    <w:tmpl w:val="1ACB0D08"/>
    <w:lvl w:ilvl="0" w:tentative="0">
      <w:start w:val="1"/>
      <w:numFmt w:val="decimal"/>
      <w:pStyle w:val="91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92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3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4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5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22E67D87"/>
    <w:multiLevelType w:val="multilevel"/>
    <w:tmpl w:val="22E67D87"/>
    <w:lvl w:ilvl="0" w:tentative="0">
      <w:start w:val="1"/>
      <w:numFmt w:val="decimal"/>
      <w:pStyle w:val="88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>
    <w:nsid w:val="238A1512"/>
    <w:multiLevelType w:val="multilevel"/>
    <w:tmpl w:val="238A1512"/>
    <w:lvl w:ilvl="0" w:tentative="0">
      <w:start w:val="1"/>
      <w:numFmt w:val="decimal"/>
      <w:pStyle w:val="4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1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2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3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7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57F3860"/>
    <w:multiLevelType w:val="multilevel"/>
    <w:tmpl w:val="257F3860"/>
    <w:lvl w:ilvl="0" w:tentative="0">
      <w:start w:val="1"/>
      <w:numFmt w:val="bullet"/>
      <w:pStyle w:val="66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8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7">
    <w:nsid w:val="2F2A2A4D"/>
    <w:multiLevelType w:val="multilevel"/>
    <w:tmpl w:val="2F2A2A4D"/>
    <w:lvl w:ilvl="0" w:tentative="0">
      <w:start w:val="1"/>
      <w:numFmt w:val="decimal"/>
      <w:pStyle w:val="83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4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5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>
    <w:nsid w:val="32B15ED0"/>
    <w:multiLevelType w:val="multilevel"/>
    <w:tmpl w:val="32B15ED0"/>
    <w:lvl w:ilvl="0" w:tentative="0">
      <w:start w:val="1"/>
      <w:numFmt w:val="decimal"/>
      <w:pStyle w:val="89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>
    <w:nsid w:val="32F63391"/>
    <w:multiLevelType w:val="multilevel"/>
    <w:tmpl w:val="32F63391"/>
    <w:lvl w:ilvl="0" w:tentative="0">
      <w:start w:val="1"/>
      <w:numFmt w:val="upperRoman"/>
      <w:pStyle w:val="100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101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102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10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3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>
    <w:nsid w:val="356238E7"/>
    <w:multiLevelType w:val="multilevel"/>
    <w:tmpl w:val="356238E7"/>
    <w:lvl w:ilvl="0" w:tentative="0">
      <w:start w:val="1"/>
      <w:numFmt w:val="bullet"/>
      <w:pStyle w:val="86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7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1">
    <w:nsid w:val="3D8F4AF6"/>
    <w:multiLevelType w:val="multilevel"/>
    <w:tmpl w:val="3D8F4AF6"/>
    <w:lvl w:ilvl="0" w:tentative="0">
      <w:start w:val="1"/>
      <w:numFmt w:val="decimal"/>
      <w:pStyle w:val="90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>
    <w:nsid w:val="41162E3A"/>
    <w:multiLevelType w:val="multilevel"/>
    <w:tmpl w:val="41162E3A"/>
    <w:lvl w:ilvl="0" w:tentative="0">
      <w:start w:val="1"/>
      <w:numFmt w:val="decimal"/>
      <w:pStyle w:val="51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>
    <w:nsid w:val="43972FF6"/>
    <w:multiLevelType w:val="multilevel"/>
    <w:tmpl w:val="43972FF6"/>
    <w:lvl w:ilvl="0" w:tentative="0">
      <w:start w:val="1"/>
      <w:numFmt w:val="chineseCountingThousand"/>
      <w:pStyle w:val="49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>
    <w:nsid w:val="4DAE4F79"/>
    <w:multiLevelType w:val="multilevel"/>
    <w:tmpl w:val="4DAE4F79"/>
    <w:lvl w:ilvl="0" w:tentative="0">
      <w:start w:val="1"/>
      <w:numFmt w:val="chineseCountingThousand"/>
      <w:pStyle w:val="54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7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8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6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7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>
    <w:nsid w:val="501F0A1D"/>
    <w:multiLevelType w:val="multilevel"/>
    <w:tmpl w:val="501F0A1D"/>
    <w:lvl w:ilvl="0" w:tentative="0">
      <w:start w:val="1"/>
      <w:numFmt w:val="chineseCountingThousand"/>
      <w:pStyle w:val="50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>
    <w:nsid w:val="55847832"/>
    <w:multiLevelType w:val="multilevel"/>
    <w:tmpl w:val="55847832"/>
    <w:lvl w:ilvl="0" w:tentative="0">
      <w:start w:val="1"/>
      <w:numFmt w:val="decimal"/>
      <w:pStyle w:val="64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52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5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>
    <w:nsid w:val="68DF0B3E"/>
    <w:multiLevelType w:val="multilevel"/>
    <w:tmpl w:val="68DF0B3E"/>
    <w:lvl w:ilvl="0" w:tentative="0">
      <w:start w:val="1"/>
      <w:numFmt w:val="decimal"/>
      <w:pStyle w:val="78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9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80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81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82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>
    <w:nsid w:val="6F6B36C8"/>
    <w:multiLevelType w:val="multilevel"/>
    <w:tmpl w:val="6F6B36C8"/>
    <w:lvl w:ilvl="0" w:tentative="0">
      <w:start w:val="1"/>
      <w:numFmt w:val="chineseCountingThousand"/>
      <w:pStyle w:val="55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3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8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9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60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>
    <w:nsid w:val="6F723ADA"/>
    <w:multiLevelType w:val="multilevel"/>
    <w:tmpl w:val="6F723ADA"/>
    <w:lvl w:ilvl="0" w:tentative="0">
      <w:start w:val="1"/>
      <w:numFmt w:val="decimal"/>
      <w:pStyle w:val="104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5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6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16"/>
  </w:num>
  <w:num w:numId="7">
    <w:abstractNumId w:val="18"/>
  </w:num>
  <w:num w:numId="8">
    <w:abstractNumId w:val="14"/>
  </w:num>
  <w:num w:numId="9">
    <w:abstractNumId w:val="2"/>
  </w:num>
  <w:num w:numId="10">
    <w:abstractNumId w:val="17"/>
  </w:num>
  <w:num w:numId="11">
    <w:abstractNumId w:val="7"/>
  </w:num>
  <w:num w:numId="12">
    <w:abstractNumId w:val="10"/>
  </w:num>
  <w:num w:numId="13">
    <w:abstractNumId w:val="4"/>
  </w:num>
  <w:num w:numId="14">
    <w:abstractNumId w:val="8"/>
  </w:num>
  <w:num w:numId="15">
    <w:abstractNumId w:val="11"/>
  </w:num>
  <w:num w:numId="16">
    <w:abstractNumId w:val="3"/>
  </w:num>
  <w:num w:numId="17">
    <w:abstractNumId w:val="9"/>
  </w:num>
  <w:num w:numId="18">
    <w:abstractNumId w:val="19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1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8B1"/>
    <w:rsid w:val="00006A51"/>
    <w:rsid w:val="000074D6"/>
    <w:rsid w:val="00011069"/>
    <w:rsid w:val="0001234F"/>
    <w:rsid w:val="00012F4B"/>
    <w:rsid w:val="000232B6"/>
    <w:rsid w:val="0002630D"/>
    <w:rsid w:val="00035877"/>
    <w:rsid w:val="00035C85"/>
    <w:rsid w:val="0004601F"/>
    <w:rsid w:val="00046060"/>
    <w:rsid w:val="00052BE9"/>
    <w:rsid w:val="00061448"/>
    <w:rsid w:val="0006493F"/>
    <w:rsid w:val="00065232"/>
    <w:rsid w:val="00070B7E"/>
    <w:rsid w:val="00073FF0"/>
    <w:rsid w:val="00076E13"/>
    <w:rsid w:val="00080FF8"/>
    <w:rsid w:val="00081A98"/>
    <w:rsid w:val="00092DEF"/>
    <w:rsid w:val="000936E2"/>
    <w:rsid w:val="000957D0"/>
    <w:rsid w:val="000A19FE"/>
    <w:rsid w:val="000A2606"/>
    <w:rsid w:val="000A2F69"/>
    <w:rsid w:val="000A63D6"/>
    <w:rsid w:val="000B326B"/>
    <w:rsid w:val="000B69A6"/>
    <w:rsid w:val="000C3E88"/>
    <w:rsid w:val="000C6614"/>
    <w:rsid w:val="000D4457"/>
    <w:rsid w:val="000E5727"/>
    <w:rsid w:val="000F6244"/>
    <w:rsid w:val="00100F24"/>
    <w:rsid w:val="00103CE6"/>
    <w:rsid w:val="00115161"/>
    <w:rsid w:val="00117108"/>
    <w:rsid w:val="001205C5"/>
    <w:rsid w:val="00122C76"/>
    <w:rsid w:val="001271AA"/>
    <w:rsid w:val="00132018"/>
    <w:rsid w:val="001420FD"/>
    <w:rsid w:val="00145990"/>
    <w:rsid w:val="00146021"/>
    <w:rsid w:val="001734CF"/>
    <w:rsid w:val="00185967"/>
    <w:rsid w:val="001920FA"/>
    <w:rsid w:val="0019258C"/>
    <w:rsid w:val="00193DFC"/>
    <w:rsid w:val="0019713F"/>
    <w:rsid w:val="001A58C4"/>
    <w:rsid w:val="001B03FE"/>
    <w:rsid w:val="001B75C3"/>
    <w:rsid w:val="001C117D"/>
    <w:rsid w:val="001C166E"/>
    <w:rsid w:val="001C560F"/>
    <w:rsid w:val="001C783D"/>
    <w:rsid w:val="001E0583"/>
    <w:rsid w:val="001E0663"/>
    <w:rsid w:val="001E254B"/>
    <w:rsid w:val="001F344E"/>
    <w:rsid w:val="0021557D"/>
    <w:rsid w:val="00217647"/>
    <w:rsid w:val="00220941"/>
    <w:rsid w:val="00220FEF"/>
    <w:rsid w:val="00223B57"/>
    <w:rsid w:val="0022614A"/>
    <w:rsid w:val="00227E62"/>
    <w:rsid w:val="00240481"/>
    <w:rsid w:val="00243B6F"/>
    <w:rsid w:val="002458A1"/>
    <w:rsid w:val="00246349"/>
    <w:rsid w:val="0025779E"/>
    <w:rsid w:val="002617A5"/>
    <w:rsid w:val="0026632E"/>
    <w:rsid w:val="00267643"/>
    <w:rsid w:val="00271605"/>
    <w:rsid w:val="00272748"/>
    <w:rsid w:val="00281F96"/>
    <w:rsid w:val="002852D2"/>
    <w:rsid w:val="00294355"/>
    <w:rsid w:val="00295594"/>
    <w:rsid w:val="002A2E73"/>
    <w:rsid w:val="002A6A9F"/>
    <w:rsid w:val="002B06D6"/>
    <w:rsid w:val="002B32D8"/>
    <w:rsid w:val="002C1783"/>
    <w:rsid w:val="002D2D0A"/>
    <w:rsid w:val="002E6A75"/>
    <w:rsid w:val="002E6FA1"/>
    <w:rsid w:val="002E7F58"/>
    <w:rsid w:val="002F7F7A"/>
    <w:rsid w:val="00304B85"/>
    <w:rsid w:val="00304CED"/>
    <w:rsid w:val="00306EB4"/>
    <w:rsid w:val="0031369F"/>
    <w:rsid w:val="00317C2C"/>
    <w:rsid w:val="00324B6F"/>
    <w:rsid w:val="00326AED"/>
    <w:rsid w:val="00330A7A"/>
    <w:rsid w:val="0033154F"/>
    <w:rsid w:val="00332F1D"/>
    <w:rsid w:val="0033575C"/>
    <w:rsid w:val="00335FF9"/>
    <w:rsid w:val="00337398"/>
    <w:rsid w:val="003432D5"/>
    <w:rsid w:val="0034634D"/>
    <w:rsid w:val="00346F0C"/>
    <w:rsid w:val="003534C5"/>
    <w:rsid w:val="00356D88"/>
    <w:rsid w:val="00374CA0"/>
    <w:rsid w:val="00377586"/>
    <w:rsid w:val="00382836"/>
    <w:rsid w:val="0039083D"/>
    <w:rsid w:val="003908E5"/>
    <w:rsid w:val="003A7852"/>
    <w:rsid w:val="003B09E1"/>
    <w:rsid w:val="003B46FF"/>
    <w:rsid w:val="003C0DCE"/>
    <w:rsid w:val="003C2831"/>
    <w:rsid w:val="003C429B"/>
    <w:rsid w:val="003D6857"/>
    <w:rsid w:val="003E1337"/>
    <w:rsid w:val="003E72FD"/>
    <w:rsid w:val="004027A6"/>
    <w:rsid w:val="00406544"/>
    <w:rsid w:val="00417BC2"/>
    <w:rsid w:val="00422D81"/>
    <w:rsid w:val="00424345"/>
    <w:rsid w:val="00427530"/>
    <w:rsid w:val="0043086F"/>
    <w:rsid w:val="004328E8"/>
    <w:rsid w:val="00440DD9"/>
    <w:rsid w:val="00454EDE"/>
    <w:rsid w:val="00474A76"/>
    <w:rsid w:val="0047627C"/>
    <w:rsid w:val="00496C70"/>
    <w:rsid w:val="004A1A00"/>
    <w:rsid w:val="004A6241"/>
    <w:rsid w:val="004B0A5D"/>
    <w:rsid w:val="004B0C78"/>
    <w:rsid w:val="004B0DFE"/>
    <w:rsid w:val="004B1E91"/>
    <w:rsid w:val="004B7844"/>
    <w:rsid w:val="004D5509"/>
    <w:rsid w:val="004D6353"/>
    <w:rsid w:val="004E0E7A"/>
    <w:rsid w:val="004E2C34"/>
    <w:rsid w:val="004E6AD3"/>
    <w:rsid w:val="004F673B"/>
    <w:rsid w:val="004F7937"/>
    <w:rsid w:val="0050115C"/>
    <w:rsid w:val="005047AB"/>
    <w:rsid w:val="00517BBF"/>
    <w:rsid w:val="00523083"/>
    <w:rsid w:val="00542643"/>
    <w:rsid w:val="0054382D"/>
    <w:rsid w:val="00556E19"/>
    <w:rsid w:val="00557D61"/>
    <w:rsid w:val="005670CF"/>
    <w:rsid w:val="005702C3"/>
    <w:rsid w:val="00570414"/>
    <w:rsid w:val="005874CD"/>
    <w:rsid w:val="00590DE4"/>
    <w:rsid w:val="005A40CB"/>
    <w:rsid w:val="005A6504"/>
    <w:rsid w:val="005A76BA"/>
    <w:rsid w:val="005B4EB6"/>
    <w:rsid w:val="005C594B"/>
    <w:rsid w:val="005D20D8"/>
    <w:rsid w:val="005D28BF"/>
    <w:rsid w:val="005D4113"/>
    <w:rsid w:val="005D6679"/>
    <w:rsid w:val="005D76A3"/>
    <w:rsid w:val="005E0B75"/>
    <w:rsid w:val="005E0B80"/>
    <w:rsid w:val="005E1668"/>
    <w:rsid w:val="005E2222"/>
    <w:rsid w:val="005E4498"/>
    <w:rsid w:val="005E5C12"/>
    <w:rsid w:val="005F2307"/>
    <w:rsid w:val="005F3065"/>
    <w:rsid w:val="00607C95"/>
    <w:rsid w:val="00613054"/>
    <w:rsid w:val="00616E66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33F4"/>
    <w:rsid w:val="0066378A"/>
    <w:rsid w:val="0067075D"/>
    <w:rsid w:val="00670ED9"/>
    <w:rsid w:val="00671930"/>
    <w:rsid w:val="006759E9"/>
    <w:rsid w:val="00681E82"/>
    <w:rsid w:val="006908C1"/>
    <w:rsid w:val="006A0613"/>
    <w:rsid w:val="006A2692"/>
    <w:rsid w:val="006A3BAA"/>
    <w:rsid w:val="006B7858"/>
    <w:rsid w:val="006C36A7"/>
    <w:rsid w:val="006C5D32"/>
    <w:rsid w:val="006D334C"/>
    <w:rsid w:val="006E0D56"/>
    <w:rsid w:val="006E1725"/>
    <w:rsid w:val="006F05C5"/>
    <w:rsid w:val="00702417"/>
    <w:rsid w:val="007024A0"/>
    <w:rsid w:val="00705E29"/>
    <w:rsid w:val="00713A59"/>
    <w:rsid w:val="00714AA1"/>
    <w:rsid w:val="00733C37"/>
    <w:rsid w:val="00745B26"/>
    <w:rsid w:val="00767113"/>
    <w:rsid w:val="00773EDC"/>
    <w:rsid w:val="00791B76"/>
    <w:rsid w:val="00795DB8"/>
    <w:rsid w:val="007A518C"/>
    <w:rsid w:val="007B1590"/>
    <w:rsid w:val="007C6641"/>
    <w:rsid w:val="007C6F0D"/>
    <w:rsid w:val="007C7F6E"/>
    <w:rsid w:val="007E68B1"/>
    <w:rsid w:val="007F5586"/>
    <w:rsid w:val="00812033"/>
    <w:rsid w:val="008157CE"/>
    <w:rsid w:val="00817126"/>
    <w:rsid w:val="008200D8"/>
    <w:rsid w:val="00821DAE"/>
    <w:rsid w:val="008449EB"/>
    <w:rsid w:val="00844A81"/>
    <w:rsid w:val="00851AF1"/>
    <w:rsid w:val="008541C1"/>
    <w:rsid w:val="00861DF8"/>
    <w:rsid w:val="0087071F"/>
    <w:rsid w:val="00876707"/>
    <w:rsid w:val="008819A3"/>
    <w:rsid w:val="00886565"/>
    <w:rsid w:val="0089149A"/>
    <w:rsid w:val="00896E91"/>
    <w:rsid w:val="008A45CF"/>
    <w:rsid w:val="008A4B46"/>
    <w:rsid w:val="008B7FEF"/>
    <w:rsid w:val="008C2F6B"/>
    <w:rsid w:val="008C5828"/>
    <w:rsid w:val="008C6BB1"/>
    <w:rsid w:val="008D0FC9"/>
    <w:rsid w:val="008D14CD"/>
    <w:rsid w:val="008F0586"/>
    <w:rsid w:val="008F0798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5D1"/>
    <w:rsid w:val="0095472F"/>
    <w:rsid w:val="009560F7"/>
    <w:rsid w:val="0096300F"/>
    <w:rsid w:val="00964904"/>
    <w:rsid w:val="00967A90"/>
    <w:rsid w:val="00980EDC"/>
    <w:rsid w:val="009870B9"/>
    <w:rsid w:val="009A68FE"/>
    <w:rsid w:val="009A7628"/>
    <w:rsid w:val="009B06C2"/>
    <w:rsid w:val="009B48D9"/>
    <w:rsid w:val="009B731F"/>
    <w:rsid w:val="009C0665"/>
    <w:rsid w:val="009C11DE"/>
    <w:rsid w:val="009C2CF0"/>
    <w:rsid w:val="009C4C36"/>
    <w:rsid w:val="009E3EDC"/>
    <w:rsid w:val="009E50CC"/>
    <w:rsid w:val="009E5900"/>
    <w:rsid w:val="009E6860"/>
    <w:rsid w:val="009F0516"/>
    <w:rsid w:val="009F3881"/>
    <w:rsid w:val="009F4EA0"/>
    <w:rsid w:val="009F5EF8"/>
    <w:rsid w:val="009F7C00"/>
    <w:rsid w:val="00A0028C"/>
    <w:rsid w:val="00A00550"/>
    <w:rsid w:val="00A0111E"/>
    <w:rsid w:val="00A05EBA"/>
    <w:rsid w:val="00A06B7E"/>
    <w:rsid w:val="00A0721A"/>
    <w:rsid w:val="00A10D1C"/>
    <w:rsid w:val="00A23110"/>
    <w:rsid w:val="00A23767"/>
    <w:rsid w:val="00A30CED"/>
    <w:rsid w:val="00A33A3B"/>
    <w:rsid w:val="00A34452"/>
    <w:rsid w:val="00A3476D"/>
    <w:rsid w:val="00A41A00"/>
    <w:rsid w:val="00A4448E"/>
    <w:rsid w:val="00A46A40"/>
    <w:rsid w:val="00A479D7"/>
    <w:rsid w:val="00A56E25"/>
    <w:rsid w:val="00A61043"/>
    <w:rsid w:val="00A81274"/>
    <w:rsid w:val="00A90783"/>
    <w:rsid w:val="00A92B7F"/>
    <w:rsid w:val="00AA670D"/>
    <w:rsid w:val="00AB74D5"/>
    <w:rsid w:val="00AC147F"/>
    <w:rsid w:val="00AC3677"/>
    <w:rsid w:val="00AC4B3E"/>
    <w:rsid w:val="00AC6704"/>
    <w:rsid w:val="00AD3538"/>
    <w:rsid w:val="00AD4A5E"/>
    <w:rsid w:val="00AD6352"/>
    <w:rsid w:val="00B000C2"/>
    <w:rsid w:val="00B0414D"/>
    <w:rsid w:val="00B0724D"/>
    <w:rsid w:val="00B1403A"/>
    <w:rsid w:val="00B16501"/>
    <w:rsid w:val="00B26E2F"/>
    <w:rsid w:val="00B321F1"/>
    <w:rsid w:val="00B36F87"/>
    <w:rsid w:val="00B42636"/>
    <w:rsid w:val="00B433A4"/>
    <w:rsid w:val="00B44E0C"/>
    <w:rsid w:val="00B51715"/>
    <w:rsid w:val="00B51CA4"/>
    <w:rsid w:val="00B574CD"/>
    <w:rsid w:val="00B652F5"/>
    <w:rsid w:val="00B82A6C"/>
    <w:rsid w:val="00B85251"/>
    <w:rsid w:val="00B97C73"/>
    <w:rsid w:val="00BA137E"/>
    <w:rsid w:val="00BA47B1"/>
    <w:rsid w:val="00BB1C6A"/>
    <w:rsid w:val="00BB7B1E"/>
    <w:rsid w:val="00BC0693"/>
    <w:rsid w:val="00BC27FC"/>
    <w:rsid w:val="00BC3DC6"/>
    <w:rsid w:val="00BE7362"/>
    <w:rsid w:val="00BF001C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666B"/>
    <w:rsid w:val="00C5060F"/>
    <w:rsid w:val="00C51DD7"/>
    <w:rsid w:val="00C57D52"/>
    <w:rsid w:val="00C645F6"/>
    <w:rsid w:val="00C65BF2"/>
    <w:rsid w:val="00C66480"/>
    <w:rsid w:val="00C876A1"/>
    <w:rsid w:val="00C87CE4"/>
    <w:rsid w:val="00C87E81"/>
    <w:rsid w:val="00C90164"/>
    <w:rsid w:val="00CA247F"/>
    <w:rsid w:val="00CA50D6"/>
    <w:rsid w:val="00CA5C3E"/>
    <w:rsid w:val="00CB2C43"/>
    <w:rsid w:val="00CB3B76"/>
    <w:rsid w:val="00CC1235"/>
    <w:rsid w:val="00CD3273"/>
    <w:rsid w:val="00CE0670"/>
    <w:rsid w:val="00CE1000"/>
    <w:rsid w:val="00CE2B72"/>
    <w:rsid w:val="00CF2F15"/>
    <w:rsid w:val="00D014C1"/>
    <w:rsid w:val="00D02B43"/>
    <w:rsid w:val="00D11A1B"/>
    <w:rsid w:val="00D23025"/>
    <w:rsid w:val="00D2423F"/>
    <w:rsid w:val="00D24E2C"/>
    <w:rsid w:val="00D252B4"/>
    <w:rsid w:val="00D26041"/>
    <w:rsid w:val="00D33C82"/>
    <w:rsid w:val="00D4017C"/>
    <w:rsid w:val="00D468B0"/>
    <w:rsid w:val="00D522FD"/>
    <w:rsid w:val="00D55381"/>
    <w:rsid w:val="00D6047D"/>
    <w:rsid w:val="00D62EAF"/>
    <w:rsid w:val="00D639FC"/>
    <w:rsid w:val="00D83F7D"/>
    <w:rsid w:val="00D90ADE"/>
    <w:rsid w:val="00D90DD5"/>
    <w:rsid w:val="00DA2847"/>
    <w:rsid w:val="00DA60DB"/>
    <w:rsid w:val="00DA6727"/>
    <w:rsid w:val="00DB2881"/>
    <w:rsid w:val="00DB75A1"/>
    <w:rsid w:val="00DB78C9"/>
    <w:rsid w:val="00DC2A2C"/>
    <w:rsid w:val="00DC4060"/>
    <w:rsid w:val="00DD6B51"/>
    <w:rsid w:val="00E05321"/>
    <w:rsid w:val="00E2337F"/>
    <w:rsid w:val="00E24CCA"/>
    <w:rsid w:val="00E257B5"/>
    <w:rsid w:val="00E4323F"/>
    <w:rsid w:val="00E67791"/>
    <w:rsid w:val="00E81006"/>
    <w:rsid w:val="00E85CE9"/>
    <w:rsid w:val="00E90FCF"/>
    <w:rsid w:val="00E95BDB"/>
    <w:rsid w:val="00E968E0"/>
    <w:rsid w:val="00E96C82"/>
    <w:rsid w:val="00EA0045"/>
    <w:rsid w:val="00EA247B"/>
    <w:rsid w:val="00EB4F1B"/>
    <w:rsid w:val="00EB5949"/>
    <w:rsid w:val="00EB5960"/>
    <w:rsid w:val="00EB6E32"/>
    <w:rsid w:val="00EC0165"/>
    <w:rsid w:val="00ED0DD9"/>
    <w:rsid w:val="00EF1FBF"/>
    <w:rsid w:val="00EF32C9"/>
    <w:rsid w:val="00EF5676"/>
    <w:rsid w:val="00EF61BA"/>
    <w:rsid w:val="00EF7AE9"/>
    <w:rsid w:val="00F0543D"/>
    <w:rsid w:val="00F05746"/>
    <w:rsid w:val="00F07C7D"/>
    <w:rsid w:val="00F1219A"/>
    <w:rsid w:val="00F12784"/>
    <w:rsid w:val="00F16D07"/>
    <w:rsid w:val="00F247CA"/>
    <w:rsid w:val="00F24F65"/>
    <w:rsid w:val="00F266D8"/>
    <w:rsid w:val="00F44134"/>
    <w:rsid w:val="00F5076C"/>
    <w:rsid w:val="00F5418B"/>
    <w:rsid w:val="00F55ED8"/>
    <w:rsid w:val="00F60953"/>
    <w:rsid w:val="00F623B7"/>
    <w:rsid w:val="00F65164"/>
    <w:rsid w:val="00F65A63"/>
    <w:rsid w:val="00F731C7"/>
    <w:rsid w:val="00F73A5E"/>
    <w:rsid w:val="00F743F2"/>
    <w:rsid w:val="00F776CE"/>
    <w:rsid w:val="00F82B9A"/>
    <w:rsid w:val="00F84440"/>
    <w:rsid w:val="00F87FD0"/>
    <w:rsid w:val="00F9062E"/>
    <w:rsid w:val="00F96C5A"/>
    <w:rsid w:val="00F97539"/>
    <w:rsid w:val="00FA0389"/>
    <w:rsid w:val="00FA3852"/>
    <w:rsid w:val="00FB145A"/>
    <w:rsid w:val="00FB4424"/>
    <w:rsid w:val="00FB6783"/>
    <w:rsid w:val="00FC0DCC"/>
    <w:rsid w:val="00FC7737"/>
    <w:rsid w:val="00FC77E3"/>
    <w:rsid w:val="00FC79E2"/>
    <w:rsid w:val="00FD3F9B"/>
    <w:rsid w:val="00FD494D"/>
    <w:rsid w:val="00FE100A"/>
    <w:rsid w:val="00FE6155"/>
    <w:rsid w:val="00FF0D99"/>
    <w:rsid w:val="6467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ascii="等线" w:hAnsi="等线" w:eastAsia="等线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4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5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6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7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8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40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41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42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1"/>
    <w:unhideWhenUsed/>
    <w:qFormat/>
    <w:uiPriority w:val="0"/>
    <w:pPr>
      <w:spacing w:after="120"/>
    </w:pPr>
  </w:style>
  <w:style w:type="paragraph" w:styleId="12">
    <w:name w:val="toc 7"/>
    <w:basedOn w:val="13"/>
    <w:next w:val="13"/>
    <w:semiHidden/>
    <w:unhideWhenUsed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annotation text"/>
    <w:basedOn w:val="1"/>
    <w:link w:val="123"/>
    <w:semiHidden/>
    <w:unhideWhenUsed/>
    <w:uiPriority w:val="0"/>
    <w:pPr>
      <w:jc w:val="left"/>
    </w:pPr>
  </w:style>
  <w:style w:type="paragraph" w:styleId="16">
    <w:name w:val="toc 5"/>
    <w:basedOn w:val="13"/>
    <w:next w:val="13"/>
    <w:semiHidden/>
    <w:unhideWhenUsed/>
    <w:uiPriority w:val="0"/>
    <w:pPr>
      <w:ind w:left="1680" w:leftChars="800"/>
    </w:pPr>
  </w:style>
  <w:style w:type="paragraph" w:styleId="17">
    <w:name w:val="toc 3"/>
    <w:basedOn w:val="13"/>
    <w:next w:val="13"/>
    <w:semiHidden/>
    <w:unhideWhenUsed/>
    <w:uiPriority w:val="0"/>
    <w:pPr>
      <w:ind w:left="840" w:leftChars="400"/>
    </w:pPr>
  </w:style>
  <w:style w:type="paragraph" w:styleId="18">
    <w:name w:val="toc 8"/>
    <w:basedOn w:val="13"/>
    <w:next w:val="13"/>
    <w:semiHidden/>
    <w:unhideWhenUsed/>
    <w:uiPriority w:val="0"/>
    <w:pPr>
      <w:ind w:left="2940" w:leftChars="1400"/>
    </w:pPr>
  </w:style>
  <w:style w:type="paragraph" w:styleId="19">
    <w:name w:val="Balloon Text"/>
    <w:basedOn w:val="1"/>
    <w:link w:val="125"/>
    <w:semiHidden/>
    <w:unhideWhenUsed/>
    <w:uiPriority w:val="0"/>
    <w:rPr>
      <w:sz w:val="18"/>
      <w:szCs w:val="18"/>
    </w:rPr>
  </w:style>
  <w:style w:type="paragraph" w:styleId="20">
    <w:name w:val="toc 1"/>
    <w:basedOn w:val="13"/>
    <w:next w:val="13"/>
    <w:unhideWhenUsed/>
    <w:uiPriority w:val="39"/>
  </w:style>
  <w:style w:type="paragraph" w:styleId="21">
    <w:name w:val="toc 4"/>
    <w:basedOn w:val="13"/>
    <w:next w:val="13"/>
    <w:semiHidden/>
    <w:unhideWhenUsed/>
    <w:uiPriority w:val="0"/>
    <w:pPr>
      <w:ind w:left="1260" w:leftChars="600"/>
    </w:pPr>
  </w:style>
  <w:style w:type="paragraph" w:styleId="22">
    <w:name w:val="Subtitle"/>
    <w:basedOn w:val="1"/>
    <w:link w:val="113"/>
    <w:qFormat/>
    <w:uiPriority w:val="11"/>
    <w:pPr>
      <w:spacing w:before="240" w:after="60" w:line="312" w:lineRule="atLeast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23">
    <w:name w:val="toc 6"/>
    <w:basedOn w:val="13"/>
    <w:next w:val="13"/>
    <w:semiHidden/>
    <w:unhideWhenUsed/>
    <w:uiPriority w:val="0"/>
    <w:pPr>
      <w:ind w:left="2100" w:leftChars="1000"/>
    </w:pPr>
  </w:style>
  <w:style w:type="paragraph" w:styleId="24">
    <w:name w:val="toc 2"/>
    <w:basedOn w:val="13"/>
    <w:next w:val="13"/>
    <w:semiHidden/>
    <w:unhideWhenUsed/>
    <w:uiPriority w:val="0"/>
    <w:pPr>
      <w:ind w:left="420" w:leftChars="200"/>
    </w:pPr>
  </w:style>
  <w:style w:type="paragraph" w:styleId="25">
    <w:name w:val="toc 9"/>
    <w:basedOn w:val="13"/>
    <w:next w:val="13"/>
    <w:semiHidden/>
    <w:unhideWhenUsed/>
    <w:uiPriority w:val="0"/>
    <w:pPr>
      <w:ind w:left="3360" w:leftChars="1600"/>
    </w:pPr>
  </w:style>
  <w:style w:type="paragraph" w:styleId="26">
    <w:name w:val="Title"/>
    <w:basedOn w:val="1"/>
    <w:link w:val="112"/>
    <w:qFormat/>
    <w:uiPriority w:val="10"/>
    <w:pPr>
      <w:spacing w:before="240" w:after="60" w:line="320" w:lineRule="atLeast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27">
    <w:name w:val="annotation subject"/>
    <w:basedOn w:val="15"/>
    <w:next w:val="15"/>
    <w:link w:val="124"/>
    <w:semiHidden/>
    <w:unhideWhenUsed/>
    <w:uiPriority w:val="0"/>
    <w:rPr>
      <w:b/>
      <w:bCs/>
    </w:rPr>
  </w:style>
  <w:style w:type="character" w:styleId="30">
    <w:name w:val="Strong"/>
    <w:qFormat/>
    <w:uiPriority w:val="22"/>
    <w:rPr>
      <w:b/>
      <w:bCs/>
    </w:rPr>
  </w:style>
  <w:style w:type="character" w:styleId="31">
    <w:name w:val="Emphasis"/>
    <w:qFormat/>
    <w:uiPriority w:val="20"/>
    <w:rPr>
      <w:i/>
      <w:iCs/>
    </w:rPr>
  </w:style>
  <w:style w:type="character" w:styleId="32">
    <w:name w:val="Hyperlink"/>
    <w:basedOn w:val="29"/>
    <w:unhideWhenUsed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annotation reference"/>
    <w:basedOn w:val="29"/>
    <w:semiHidden/>
    <w:unhideWhenUsed/>
    <w:uiPriority w:val="0"/>
    <w:rPr>
      <w:sz w:val="21"/>
      <w:szCs w:val="21"/>
    </w:rPr>
  </w:style>
  <w:style w:type="character" w:customStyle="1" w:styleId="34">
    <w:name w:val="标题 1 字符"/>
    <w:basedOn w:val="29"/>
    <w:link w:val="2"/>
    <w:semiHidden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5">
    <w:name w:val="标题 2 字符"/>
    <w:basedOn w:val="29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字符"/>
    <w:basedOn w:val="29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7">
    <w:name w:val="标题 4 字符"/>
    <w:basedOn w:val="29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字符"/>
    <w:basedOn w:val="29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9">
    <w:name w:val="标题 6 字符"/>
    <w:basedOn w:val="29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字符"/>
    <w:basedOn w:val="29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41">
    <w:name w:val="标题 8 字符"/>
    <w:basedOn w:val="29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字符"/>
    <w:basedOn w:val="29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3">
    <w:name w:val="KWMCN-大标题"/>
    <w:next w:val="44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4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5">
    <w:name w:val="KWMCN-小标题"/>
    <w:next w:val="44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6">
    <w:name w:val="KWMCN-一级标题2"/>
    <w:next w:val="44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7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8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0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1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2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3">
    <w:name w:val="KWMCN-二级标题"/>
    <w:next w:val="44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5">
    <w:name w:val="KWMCN-一级标题"/>
    <w:next w:val="44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6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二级标题2"/>
    <w:next w:val="44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7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70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2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3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4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5">
    <w:name w:val="KWMEN-Heading"/>
    <w:next w:val="76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6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7">
    <w:name w:val="KWMEN-SubHeading"/>
    <w:next w:val="76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8">
    <w:name w:val="KWMEN-Heading-1"/>
    <w:next w:val="76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9">
    <w:name w:val="KWMEN-Heading-2"/>
    <w:next w:val="76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Heading-3"/>
    <w:next w:val="76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5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6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7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8">
    <w:name w:val="KWMEN-Attachment"/>
    <w:next w:val="76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9">
    <w:name w:val="KWMEN-Schedule"/>
    <w:next w:val="76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0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2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3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4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5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6">
    <w:name w:val="KWMJP-大标题JP"/>
    <w:next w:val="97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7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8">
    <w:name w:val="KWMJP-小标题JP"/>
    <w:next w:val="97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9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一级标题JP"/>
    <w:next w:val="97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101">
    <w:name w:val="KWMJP-二级标题JP"/>
    <w:next w:val="97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7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8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9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10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11">
    <w:name w:val="正文文本 字符"/>
    <w:basedOn w:val="29"/>
    <w:link w:val="3"/>
    <w:semiHidden/>
    <w:uiPriority w:val="99"/>
  </w:style>
  <w:style w:type="character" w:customStyle="1" w:styleId="112">
    <w:name w:val="标题 字符"/>
    <w:basedOn w:val="29"/>
    <w:link w:val="26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3">
    <w:name w:val="副标题 字符"/>
    <w:basedOn w:val="29"/>
    <w:link w:val="22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4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5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  <w:sz w:val="24"/>
    </w:rPr>
  </w:style>
  <w:style w:type="paragraph" w:styleId="116">
    <w:name w:val="Quote"/>
    <w:basedOn w:val="1"/>
    <w:next w:val="1"/>
    <w:link w:val="117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17">
    <w:name w:val="引用 字符"/>
    <w:link w:val="116"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8">
    <w:name w:val="Intense Quote"/>
    <w:basedOn w:val="1"/>
    <w:next w:val="1"/>
    <w:link w:val="119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19">
    <w:name w:val="明显引用 字符"/>
    <w:link w:val="118"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20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21">
    <w:name w:val="正文文本 Char"/>
    <w:uiPriority w:val="0"/>
    <w:rPr>
      <w:sz w:val="24"/>
      <w:szCs w:val="24"/>
      <w:lang w:eastAsia="en-GB" w:bidi="ar-AE"/>
    </w:rPr>
  </w:style>
  <w:style w:type="paragraph" w:customStyle="1" w:styleId="122">
    <w:name w:val="Body"/>
    <w:basedOn w:val="1"/>
    <w:uiPriority w:val="0"/>
    <w:pPr>
      <w:widowControl/>
      <w:adjustRightInd/>
      <w:snapToGrid/>
      <w:spacing w:after="140" w:line="290" w:lineRule="auto"/>
    </w:pPr>
    <w:rPr>
      <w:rFonts w:ascii="Arial" w:hAnsi="Arial" w:eastAsia="宋体" w:cs="Times New Roman"/>
      <w:kern w:val="20"/>
      <w:sz w:val="20"/>
      <w:szCs w:val="24"/>
      <w:lang w:val="en-GB" w:eastAsia="en-GB"/>
    </w:rPr>
  </w:style>
  <w:style w:type="character" w:customStyle="1" w:styleId="123">
    <w:name w:val="批注文字 字符"/>
    <w:basedOn w:val="29"/>
    <w:link w:val="15"/>
    <w:semiHidden/>
    <w:uiPriority w:val="0"/>
    <w:rPr>
      <w:rFonts w:ascii="等线" w:hAnsi="等线" w:eastAsia="等线"/>
      <w:szCs w:val="22"/>
    </w:rPr>
  </w:style>
  <w:style w:type="character" w:customStyle="1" w:styleId="124">
    <w:name w:val="批注主题 字符"/>
    <w:basedOn w:val="123"/>
    <w:link w:val="27"/>
    <w:semiHidden/>
    <w:uiPriority w:val="0"/>
    <w:rPr>
      <w:rFonts w:ascii="等线" w:hAnsi="等线" w:eastAsia="等线"/>
      <w:b/>
      <w:bCs/>
      <w:szCs w:val="22"/>
    </w:rPr>
  </w:style>
  <w:style w:type="character" w:customStyle="1" w:styleId="125">
    <w:name w:val="批注框文本 字符"/>
    <w:basedOn w:val="29"/>
    <w:link w:val="19"/>
    <w:semiHidden/>
    <w:uiPriority w:val="0"/>
    <w:rPr>
      <w:rFonts w:ascii="等线" w:hAnsi="等线" w:eastAsia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8DDA44-5E49-41BD-8CC5-DA6A3A99C324}">
  <ds:schemaRefs/>
</ds:datastoreItem>
</file>

<file path=customXml/itemProps3.xml><?xml version="1.0" encoding="utf-8"?>
<ds:datastoreItem xmlns:ds="http://schemas.openxmlformats.org/officeDocument/2006/customXml" ds:itemID="{EA4B10BD-6559-465B-AA58-CB6BDA66CE11}">
  <ds:schemaRefs/>
</ds:datastoreItem>
</file>

<file path=customXml/itemProps4.xml><?xml version="1.0" encoding="utf-8"?>
<ds:datastoreItem xmlns:ds="http://schemas.openxmlformats.org/officeDocument/2006/customXml" ds:itemID="{25334473-0786-4112-BE58-0358D8E155CC}">
  <ds:schemaRefs/>
</ds:datastoreItem>
</file>

<file path=customXml/itemProps5.xml><?xml version="1.0" encoding="utf-8"?>
<ds:datastoreItem xmlns:ds="http://schemas.openxmlformats.org/officeDocument/2006/customXml" ds:itemID="{466AE3BD-574F-4CD7-B5E1-C3D43BF303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1</Pages>
  <Words>168</Words>
  <Characters>960</Characters>
  <Lines>8</Lines>
  <Paragraphs>2</Paragraphs>
  <TotalTime>2</TotalTime>
  <ScaleCrop>false</ScaleCrop>
  <LinksUpToDate>false</LinksUpToDate>
  <CharactersWithSpaces>1126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2021-11-29T03:09:00Z</dcterms:created>
  <dc:creator>ZQF</dc:creator>
  <cp:keywords>blank</cp:keywords>
  <cp:lastModifiedBy>张洪磊</cp:lastModifiedBy>
  <cp:lastPrinted>2021-03-11T02:49:00Z</cp:lastPrinted>
  <dcterms:modified xsi:type="dcterms:W3CDTF">2021-11-30T09:14:23Z</dcterms:modified>
  <dc:subject>Blank Template</dc:subject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