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黑体"/>
          <w:sz w:val="30"/>
          <w:szCs w:val="30"/>
        </w:rPr>
      </w:pPr>
      <w:r>
        <w:rPr>
          <w:rFonts w:ascii="Times New Roman" w:hAnsi="Times New Roman" w:eastAsia="黑体"/>
          <w:sz w:val="30"/>
          <w:szCs w:val="30"/>
        </w:rPr>
        <w:t>经营者集中简易案件公示表</w:t>
      </w:r>
    </w:p>
    <w:p>
      <w:pPr>
        <w:spacing w:line="440" w:lineRule="exact"/>
        <w:ind w:firstLine="845" w:firstLineChars="302"/>
        <w:rPr>
          <w:rFonts w:ascii="Times New Roman" w:hAnsi="Times New Roman" w:eastAsia="仿宋_GB2312"/>
          <w:sz w:val="28"/>
          <w:szCs w:val="28"/>
        </w:rPr>
      </w:pPr>
    </w:p>
    <w:tbl>
      <w:tblPr>
        <w:tblStyle w:val="4"/>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1512"/>
        <w:gridCol w:w="55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案件名称</w:t>
            </w:r>
          </w:p>
        </w:tc>
        <w:tc>
          <w:tcPr>
            <w:tcW w:w="7087" w:type="dxa"/>
            <w:gridSpan w:val="2"/>
          </w:tcPr>
          <w:p>
            <w:pPr>
              <w:spacing w:line="500" w:lineRule="exact"/>
              <w:rPr>
                <w:rFonts w:ascii="Times New Roman" w:hAnsi="Times New Roman" w:eastAsia="仿宋"/>
                <w:color w:val="333333"/>
                <w:kern w:val="0"/>
                <w:sz w:val="24"/>
                <w:szCs w:val="24"/>
              </w:rPr>
            </w:pPr>
            <w:r>
              <w:rPr>
                <w:rFonts w:hint="eastAsia" w:ascii="Times New Roman" w:hAnsi="Times New Roman" w:eastAsia="仿宋"/>
                <w:color w:val="333333"/>
                <w:kern w:val="0"/>
                <w:sz w:val="24"/>
                <w:szCs w:val="24"/>
              </w:rPr>
              <w:t>广州市城市建设投资集团有限公司收购广州酒家集团股份有限公司股权案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2093" w:type="dxa"/>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交易概况</w:t>
            </w:r>
          </w:p>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（限200字内）</w:t>
            </w:r>
          </w:p>
        </w:tc>
        <w:tc>
          <w:tcPr>
            <w:tcW w:w="7087" w:type="dxa"/>
            <w:gridSpan w:val="2"/>
          </w:tcPr>
          <w:p>
            <w:pPr>
              <w:spacing w:line="500" w:lineRule="exact"/>
              <w:rPr>
                <w:rFonts w:ascii="Times New Roman" w:hAnsi="Times New Roman" w:eastAsia="仿宋"/>
                <w:color w:val="333333"/>
                <w:kern w:val="0"/>
                <w:sz w:val="24"/>
                <w:szCs w:val="24"/>
              </w:rPr>
            </w:pPr>
            <w:r>
              <w:rPr>
                <w:rFonts w:hint="eastAsia" w:ascii="Times New Roman" w:hAnsi="Times New Roman" w:eastAsia="仿宋"/>
                <w:color w:val="333333"/>
                <w:kern w:val="0"/>
                <w:sz w:val="24"/>
                <w:szCs w:val="24"/>
              </w:rPr>
              <w:t>广州市国资委将其直接持有的广州酒家51.00%股份，以无偿划拨方式转让至广州城投。交易后，广州城投将直接持有广州酒家51.00%股份，成为广州酒家的控股股东并获得广州酒家的单独控制权。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2093" w:type="dxa"/>
            <w:vMerge w:val="restart"/>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参与集中的</w:t>
            </w:r>
          </w:p>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经营者简介</w:t>
            </w:r>
          </w:p>
        </w:tc>
        <w:tc>
          <w:tcPr>
            <w:tcW w:w="1512" w:type="dxa"/>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1、</w:t>
            </w:r>
            <w:r>
              <w:rPr>
                <w:rFonts w:hint="eastAsia" w:ascii="Times New Roman" w:hAnsi="Times New Roman" w:eastAsia="仿宋"/>
                <w:color w:val="333333"/>
                <w:kern w:val="0"/>
                <w:sz w:val="24"/>
                <w:szCs w:val="24"/>
              </w:rPr>
              <w:t>广州城投</w:t>
            </w:r>
          </w:p>
        </w:tc>
        <w:tc>
          <w:tcPr>
            <w:tcW w:w="5575" w:type="dxa"/>
          </w:tcPr>
          <w:p>
            <w:pPr>
              <w:spacing w:line="500" w:lineRule="exact"/>
              <w:rPr>
                <w:rFonts w:ascii="Times New Roman" w:hAnsi="Times New Roman" w:eastAsia="仿宋"/>
                <w:color w:val="333333"/>
                <w:kern w:val="0"/>
                <w:sz w:val="24"/>
                <w:szCs w:val="24"/>
              </w:rPr>
            </w:pPr>
            <w:r>
              <w:rPr>
                <w:rFonts w:hint="eastAsia" w:ascii="Times New Roman" w:hAnsi="Times New Roman" w:eastAsia="仿宋"/>
                <w:color w:val="333333"/>
                <w:kern w:val="0"/>
                <w:sz w:val="24"/>
                <w:szCs w:val="24"/>
              </w:rPr>
              <w:t>广州城投在中国境内主要从事投融资、重大项目建设和项目运营业务，业务领域主要涉及资产经营、商业地产、金融和贸易业务四大板块。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093"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1512" w:type="dxa"/>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2、</w:t>
            </w:r>
            <w:r>
              <w:rPr>
                <w:rFonts w:hint="eastAsia" w:ascii="Times New Roman" w:hAnsi="Times New Roman" w:eastAsia="仿宋"/>
                <w:color w:val="333333"/>
                <w:kern w:val="0"/>
                <w:sz w:val="24"/>
                <w:szCs w:val="24"/>
              </w:rPr>
              <w:t>广州酒家</w:t>
            </w:r>
          </w:p>
        </w:tc>
        <w:tc>
          <w:tcPr>
            <w:tcW w:w="5575" w:type="dxa"/>
          </w:tcPr>
          <w:p>
            <w:pPr>
              <w:spacing w:line="500" w:lineRule="exact"/>
              <w:rPr>
                <w:rFonts w:ascii="Times New Roman" w:hAnsi="Times New Roman" w:eastAsia="仿宋"/>
                <w:color w:val="333333"/>
                <w:kern w:val="0"/>
                <w:sz w:val="24"/>
                <w:szCs w:val="24"/>
              </w:rPr>
            </w:pPr>
            <w:r>
              <w:rPr>
                <w:rFonts w:hint="eastAsia" w:ascii="Times New Roman" w:hAnsi="Times New Roman" w:eastAsia="仿宋"/>
                <w:color w:val="333333"/>
                <w:kern w:val="0"/>
                <w:sz w:val="24"/>
                <w:szCs w:val="24"/>
              </w:rPr>
              <w:t>广州酒家在中国境内的主营业务为月饼系列产品、速冻包点等产品的研发、生产和销售，以及提供中式正餐的餐饮服务。</w:t>
            </w:r>
            <w:r>
              <w:rPr>
                <w:rFonts w:ascii="Times New Roman" w:hAnsi="Times New Roman" w:eastAsia="仿宋"/>
                <w:color w:val="333333"/>
                <w:kern w:val="0"/>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2093" w:type="dxa"/>
            <w:vMerge w:val="restart"/>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简易案件理由（可以单选，也可以多选）</w:t>
            </w:r>
          </w:p>
        </w:tc>
        <w:tc>
          <w:tcPr>
            <w:tcW w:w="7087" w:type="dxa"/>
            <w:gridSpan w:val="2"/>
          </w:tcPr>
          <w:p>
            <w:pPr>
              <w:spacing w:line="500" w:lineRule="exact"/>
              <w:rPr>
                <w:rFonts w:ascii="Times New Roman" w:hAnsi="Times New Roman" w:eastAsia="仿宋"/>
                <w:color w:val="333333"/>
                <w:kern w:val="0"/>
                <w:sz w:val="24"/>
                <w:szCs w:val="24"/>
              </w:rPr>
            </w:pPr>
            <w:r>
              <w:rPr>
                <w:rFonts w:ascii="Times New Roman" w:hAnsi="Times New Roman" w:eastAsia="等线"/>
                <w:color w:val="333333"/>
                <w:kern w:val="0"/>
                <w:sz w:val="24"/>
                <w:szCs w:val="24"/>
              </w:rPr>
              <w:sym w:font="Wingdings 2" w:char="F052"/>
            </w:r>
            <w:r>
              <w:rPr>
                <w:rFonts w:ascii="Times New Roman" w:hAnsi="Times New Roman" w:eastAsia="仿宋"/>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093"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7087"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3"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7087" w:type="dxa"/>
            <w:gridSpan w:val="2"/>
          </w:tcPr>
          <w:p>
            <w:pPr>
              <w:spacing w:line="500" w:lineRule="exact"/>
              <w:rPr>
                <w:rFonts w:ascii="Times New Roman" w:hAnsi="Times New Roman" w:eastAsia="仿宋"/>
                <w:color w:val="333333"/>
                <w:kern w:val="0"/>
                <w:sz w:val="24"/>
                <w:szCs w:val="24"/>
              </w:rPr>
            </w:pPr>
            <w:r>
              <w:rPr>
                <w:rFonts w:ascii="Times New Roman" w:hAnsi="Times New Roman" w:eastAsia="等线"/>
                <w:color w:val="333333"/>
                <w:kern w:val="0"/>
                <w:sz w:val="24"/>
                <w:szCs w:val="24"/>
              </w:rPr>
              <w:sym w:font="Wingdings 2" w:char="F052"/>
            </w:r>
            <w:r>
              <w:rPr>
                <w:rFonts w:ascii="Times New Roman" w:hAnsi="Times New Roman" w:eastAsia="仿宋"/>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093"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7087"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093"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7087"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093"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7087"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2093" w:type="dxa"/>
            <w:vMerge w:val="restart"/>
            <w:shd w:val="clear" w:color="auto" w:fill="D9D9D9"/>
            <w:vAlign w:val="center"/>
          </w:tcPr>
          <w:p>
            <w:pPr>
              <w:spacing w:line="500" w:lineRule="exact"/>
              <w:jc w:val="center"/>
              <w:rPr>
                <w:rFonts w:ascii="Times New Roman" w:hAnsi="Times New Roman" w:eastAsia="仿宋"/>
                <w:color w:val="333333"/>
                <w:kern w:val="0"/>
                <w:sz w:val="24"/>
                <w:szCs w:val="24"/>
              </w:rPr>
            </w:pPr>
            <w:r>
              <w:rPr>
                <w:rFonts w:ascii="Times New Roman" w:hAnsi="Times New Roman" w:eastAsia="仿宋"/>
                <w:color w:val="333333"/>
                <w:kern w:val="0"/>
                <w:sz w:val="24"/>
                <w:szCs w:val="24"/>
              </w:rPr>
              <w:t>备注</w:t>
            </w:r>
          </w:p>
        </w:tc>
        <w:tc>
          <w:tcPr>
            <w:tcW w:w="7087"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相关</w:t>
            </w:r>
            <w:r>
              <w:rPr>
                <w:rFonts w:hint="eastAsia" w:ascii="Times New Roman" w:hAnsi="Times New Roman" w:eastAsia="仿宋"/>
                <w:color w:val="333333"/>
                <w:kern w:val="0"/>
                <w:sz w:val="24"/>
                <w:szCs w:val="24"/>
                <w:lang w:eastAsia="zh-CN"/>
              </w:rPr>
              <w:t>商</w:t>
            </w:r>
            <w:r>
              <w:rPr>
                <w:rFonts w:ascii="Times New Roman" w:hAnsi="Times New Roman" w:eastAsia="仿宋"/>
                <w:color w:val="333333"/>
                <w:kern w:val="0"/>
                <w:sz w:val="24"/>
                <w:szCs w:val="24"/>
              </w:rPr>
              <w:t>品市场：</w:t>
            </w:r>
            <w:r>
              <w:rPr>
                <w:rFonts w:hint="eastAsia" w:ascii="Times New Roman" w:hAnsi="Times New Roman" w:eastAsia="仿宋"/>
                <w:color w:val="333333"/>
                <w:kern w:val="0"/>
                <w:sz w:val="24"/>
                <w:szCs w:val="24"/>
              </w:rPr>
              <w:t>月饼</w:t>
            </w:r>
            <w:r>
              <w:rPr>
                <w:rFonts w:ascii="Times New Roman" w:hAnsi="Times New Roman" w:eastAsia="仿宋"/>
                <w:color w:val="333333"/>
                <w:kern w:val="0"/>
                <w:sz w:val="24"/>
                <w:szCs w:val="24"/>
              </w:rPr>
              <w:t>市场</w:t>
            </w:r>
          </w:p>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相关地域市场：中国境内</w:t>
            </w:r>
          </w:p>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市场份额：</w:t>
            </w:r>
            <w:r>
              <w:rPr>
                <w:rFonts w:hint="eastAsia" w:ascii="Times New Roman" w:hAnsi="Times New Roman" w:eastAsia="仿宋"/>
                <w:color w:val="333333"/>
                <w:kern w:val="0"/>
                <w:sz w:val="24"/>
                <w:szCs w:val="24"/>
              </w:rPr>
              <w:t>广州酒家：</w:t>
            </w:r>
            <w:r>
              <w:rPr>
                <w:rFonts w:ascii="Times New Roman" w:hAnsi="Times New Roman" w:eastAsia="仿宋"/>
                <w:color w:val="333333"/>
                <w:kern w:val="0"/>
                <w:sz w:val="24"/>
                <w:szCs w:val="24"/>
              </w:rPr>
              <w:t>5</w:t>
            </w:r>
            <w:r>
              <w:rPr>
                <w:rFonts w:hint="eastAsia" w:ascii="Times New Roman" w:hAnsi="Times New Roman" w:eastAsia="仿宋"/>
                <w:color w:val="333333"/>
                <w:kern w:val="0"/>
                <w:sz w:val="24"/>
                <w:szCs w:val="24"/>
              </w:rPr>
              <w:t>-</w:t>
            </w:r>
            <w:r>
              <w:rPr>
                <w:rFonts w:ascii="Times New Roman" w:hAnsi="Times New Roman" w:eastAsia="仿宋"/>
                <w:color w:val="333333"/>
                <w:kern w:val="0"/>
                <w:sz w:val="24"/>
                <w:szCs w:val="24"/>
              </w:rPr>
              <w:t>1</w:t>
            </w:r>
            <w:r>
              <w:rPr>
                <w:rFonts w:hint="eastAsia" w:ascii="Times New Roman" w:hAnsi="Times New Roman" w:eastAsia="仿宋"/>
                <w:color w:val="333333"/>
                <w:kern w:val="0"/>
                <w:sz w:val="24"/>
                <w:szCs w:val="24"/>
              </w:rPr>
              <w:t>0</w:t>
            </w:r>
            <w:r>
              <w:rPr>
                <w:rFonts w:ascii="Times New Roman" w:hAnsi="Times New Roman" w:eastAsia="仿宋"/>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2093"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7087"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相关</w:t>
            </w:r>
            <w:r>
              <w:rPr>
                <w:rFonts w:hint="eastAsia" w:ascii="Times New Roman" w:hAnsi="Times New Roman" w:eastAsia="仿宋"/>
                <w:color w:val="333333"/>
                <w:kern w:val="0"/>
                <w:sz w:val="24"/>
                <w:szCs w:val="24"/>
                <w:lang w:eastAsia="zh-CN"/>
              </w:rPr>
              <w:t>商</w:t>
            </w:r>
            <w:r>
              <w:rPr>
                <w:rFonts w:ascii="Times New Roman" w:hAnsi="Times New Roman" w:eastAsia="仿宋"/>
                <w:color w:val="333333"/>
                <w:kern w:val="0"/>
                <w:sz w:val="24"/>
                <w:szCs w:val="24"/>
              </w:rPr>
              <w:t>品市场：</w:t>
            </w:r>
            <w:r>
              <w:rPr>
                <w:rFonts w:hint="eastAsia" w:ascii="Times New Roman" w:hAnsi="Times New Roman" w:eastAsia="仿宋"/>
                <w:color w:val="333333"/>
                <w:kern w:val="0"/>
                <w:sz w:val="24"/>
                <w:szCs w:val="24"/>
              </w:rPr>
              <w:t>速冻包点</w:t>
            </w:r>
            <w:r>
              <w:rPr>
                <w:rFonts w:ascii="Times New Roman" w:hAnsi="Times New Roman" w:eastAsia="仿宋"/>
                <w:color w:val="333333"/>
                <w:kern w:val="0"/>
                <w:sz w:val="24"/>
                <w:szCs w:val="24"/>
              </w:rPr>
              <w:t>市场</w:t>
            </w:r>
          </w:p>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相关地域市场：中国境内</w:t>
            </w:r>
          </w:p>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市场份额：</w:t>
            </w:r>
            <w:r>
              <w:rPr>
                <w:rFonts w:hint="eastAsia" w:ascii="Times New Roman" w:hAnsi="Times New Roman" w:eastAsia="仿宋"/>
                <w:color w:val="333333"/>
                <w:kern w:val="0"/>
                <w:sz w:val="24"/>
                <w:szCs w:val="24"/>
              </w:rPr>
              <w:t>广州酒家：</w:t>
            </w:r>
            <w:r>
              <w:rPr>
                <w:rFonts w:ascii="Times New Roman" w:hAnsi="Times New Roman" w:eastAsia="仿宋"/>
                <w:color w:val="333333"/>
                <w:kern w:val="0"/>
                <w:sz w:val="24"/>
                <w:szCs w:val="24"/>
              </w:rPr>
              <w:t>0</w:t>
            </w:r>
            <w:r>
              <w:rPr>
                <w:rFonts w:hint="eastAsia" w:ascii="Times New Roman" w:hAnsi="Times New Roman" w:eastAsia="仿宋"/>
                <w:color w:val="333333"/>
                <w:kern w:val="0"/>
                <w:sz w:val="24"/>
                <w:szCs w:val="24"/>
              </w:rPr>
              <w:t>-</w:t>
            </w:r>
            <w:r>
              <w:rPr>
                <w:rFonts w:ascii="Times New Roman" w:hAnsi="Times New Roman" w:eastAsia="仿宋"/>
                <w:color w:val="333333"/>
                <w:kern w:val="0"/>
                <w:sz w:val="24"/>
                <w:szCs w:val="24"/>
              </w:rPr>
              <w:t>5</w:t>
            </w:r>
            <w:r>
              <w:rPr>
                <w:rFonts w:hint="eastAsia" w:ascii="Times New Roman" w:hAnsi="Times New Roman" w:eastAsia="仿宋"/>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2093" w:type="dxa"/>
            <w:vMerge w:val="continue"/>
            <w:shd w:val="clear" w:color="auto" w:fill="D9D9D9"/>
            <w:vAlign w:val="center"/>
          </w:tcPr>
          <w:p>
            <w:pPr>
              <w:spacing w:line="500" w:lineRule="exact"/>
              <w:jc w:val="center"/>
              <w:rPr>
                <w:rFonts w:ascii="Times New Roman" w:hAnsi="Times New Roman" w:eastAsia="仿宋"/>
                <w:color w:val="333333"/>
                <w:kern w:val="0"/>
                <w:sz w:val="24"/>
                <w:szCs w:val="24"/>
              </w:rPr>
            </w:pPr>
          </w:p>
        </w:tc>
        <w:tc>
          <w:tcPr>
            <w:tcW w:w="7087" w:type="dxa"/>
            <w:gridSpan w:val="2"/>
          </w:tcPr>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相关</w:t>
            </w:r>
            <w:r>
              <w:rPr>
                <w:rFonts w:hint="eastAsia" w:ascii="Times New Roman" w:hAnsi="Times New Roman" w:eastAsia="仿宋"/>
                <w:color w:val="333333"/>
                <w:kern w:val="0"/>
                <w:sz w:val="24"/>
                <w:szCs w:val="24"/>
                <w:lang w:eastAsia="zh-CN"/>
              </w:rPr>
              <w:t>商</w:t>
            </w:r>
            <w:bookmarkStart w:id="0" w:name="_GoBack"/>
            <w:bookmarkEnd w:id="0"/>
            <w:r>
              <w:rPr>
                <w:rFonts w:ascii="Times New Roman" w:hAnsi="Times New Roman" w:eastAsia="仿宋"/>
                <w:color w:val="333333"/>
                <w:kern w:val="0"/>
                <w:sz w:val="24"/>
                <w:szCs w:val="24"/>
              </w:rPr>
              <w:t>品市场：</w:t>
            </w:r>
            <w:r>
              <w:rPr>
                <w:rFonts w:hint="eastAsia" w:ascii="Times New Roman" w:hAnsi="Times New Roman" w:eastAsia="仿宋"/>
                <w:color w:val="333333"/>
                <w:kern w:val="0"/>
                <w:sz w:val="24"/>
                <w:szCs w:val="24"/>
              </w:rPr>
              <w:t>中式正餐</w:t>
            </w:r>
            <w:r>
              <w:rPr>
                <w:rFonts w:ascii="Times New Roman" w:hAnsi="Times New Roman" w:eastAsia="仿宋"/>
                <w:color w:val="333333"/>
                <w:kern w:val="0"/>
                <w:sz w:val="24"/>
                <w:szCs w:val="24"/>
              </w:rPr>
              <w:t>市场</w:t>
            </w:r>
          </w:p>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相关地域市场：</w:t>
            </w:r>
            <w:r>
              <w:rPr>
                <w:rFonts w:hint="eastAsia" w:ascii="Times New Roman" w:hAnsi="Times New Roman" w:eastAsia="仿宋"/>
                <w:color w:val="333333"/>
                <w:kern w:val="0"/>
                <w:sz w:val="24"/>
                <w:szCs w:val="24"/>
              </w:rPr>
              <w:t>广州市广州塔为圆心、以5公里为辐射范围的商圈</w:t>
            </w:r>
          </w:p>
          <w:p>
            <w:pPr>
              <w:spacing w:line="500" w:lineRule="exact"/>
              <w:rPr>
                <w:rFonts w:ascii="Times New Roman" w:hAnsi="Times New Roman" w:eastAsia="仿宋"/>
                <w:color w:val="333333"/>
                <w:kern w:val="0"/>
                <w:sz w:val="24"/>
                <w:szCs w:val="24"/>
              </w:rPr>
            </w:pPr>
            <w:r>
              <w:rPr>
                <w:rFonts w:ascii="Times New Roman" w:hAnsi="Times New Roman" w:eastAsia="仿宋"/>
                <w:color w:val="333333"/>
                <w:kern w:val="0"/>
                <w:sz w:val="24"/>
                <w:szCs w:val="24"/>
              </w:rPr>
              <w:t>市场份额：</w:t>
            </w:r>
            <w:r>
              <w:rPr>
                <w:rFonts w:hint="eastAsia" w:ascii="Times New Roman" w:hAnsi="Times New Roman" w:eastAsia="仿宋"/>
                <w:color w:val="333333"/>
                <w:kern w:val="0"/>
                <w:sz w:val="24"/>
                <w:szCs w:val="24"/>
              </w:rPr>
              <w:t>广州城投：</w:t>
            </w:r>
            <w:r>
              <w:rPr>
                <w:rFonts w:ascii="Times New Roman" w:hAnsi="Times New Roman" w:eastAsia="仿宋"/>
                <w:color w:val="333333"/>
                <w:kern w:val="0"/>
                <w:sz w:val="24"/>
                <w:szCs w:val="24"/>
              </w:rPr>
              <w:t>0</w:t>
            </w:r>
            <w:r>
              <w:rPr>
                <w:rFonts w:hint="eastAsia" w:ascii="Times New Roman" w:hAnsi="Times New Roman" w:eastAsia="仿宋"/>
                <w:color w:val="333333"/>
                <w:kern w:val="0"/>
                <w:sz w:val="24"/>
                <w:szCs w:val="24"/>
              </w:rPr>
              <w:t>-5</w:t>
            </w:r>
            <w:r>
              <w:rPr>
                <w:rFonts w:ascii="Times New Roman" w:hAnsi="Times New Roman" w:eastAsia="仿宋"/>
                <w:color w:val="333333"/>
                <w:kern w:val="0"/>
                <w:sz w:val="24"/>
                <w:szCs w:val="24"/>
              </w:rPr>
              <w:t xml:space="preserve">%  </w:t>
            </w:r>
            <w:r>
              <w:rPr>
                <w:rFonts w:hint="eastAsia" w:ascii="Times New Roman" w:hAnsi="Times New Roman" w:eastAsia="仿宋"/>
                <w:color w:val="333333"/>
                <w:kern w:val="0"/>
                <w:sz w:val="24"/>
                <w:szCs w:val="24"/>
              </w:rPr>
              <w:t>广州酒家：</w:t>
            </w:r>
            <w:r>
              <w:rPr>
                <w:rFonts w:ascii="Times New Roman" w:hAnsi="Times New Roman" w:eastAsia="仿宋"/>
                <w:color w:val="333333"/>
                <w:kern w:val="0"/>
                <w:sz w:val="24"/>
                <w:szCs w:val="24"/>
              </w:rPr>
              <w:t>0</w:t>
            </w:r>
            <w:r>
              <w:rPr>
                <w:rFonts w:hint="eastAsia" w:ascii="Times New Roman" w:hAnsi="Times New Roman" w:eastAsia="仿宋"/>
                <w:color w:val="333333"/>
                <w:kern w:val="0"/>
                <w:sz w:val="24"/>
                <w:szCs w:val="24"/>
              </w:rPr>
              <w:t>-</w:t>
            </w:r>
            <w:r>
              <w:rPr>
                <w:rFonts w:ascii="Times New Roman" w:hAnsi="Times New Roman" w:eastAsia="仿宋"/>
                <w:color w:val="333333"/>
                <w:kern w:val="0"/>
                <w:sz w:val="24"/>
                <w:szCs w:val="24"/>
              </w:rPr>
              <w:t>5</w:t>
            </w:r>
            <w:r>
              <w:rPr>
                <w:rFonts w:hint="eastAsia" w:ascii="Times New Roman" w:hAnsi="Times New Roman" w:eastAsia="仿宋"/>
                <w:color w:val="333333"/>
                <w:kern w:val="0"/>
                <w:sz w:val="24"/>
                <w:szCs w:val="24"/>
              </w:rPr>
              <w:t>%</w:t>
            </w:r>
          </w:p>
          <w:p>
            <w:pPr>
              <w:spacing w:line="500" w:lineRule="exact"/>
              <w:rPr>
                <w:rFonts w:ascii="Times New Roman" w:hAnsi="Times New Roman" w:eastAsia="仿宋"/>
                <w:color w:val="333333"/>
                <w:kern w:val="0"/>
                <w:sz w:val="24"/>
                <w:szCs w:val="24"/>
              </w:rPr>
            </w:pPr>
            <w:r>
              <w:rPr>
                <w:rFonts w:hint="eastAsia" w:ascii="Times New Roman" w:hAnsi="Times New Roman" w:eastAsia="仿宋"/>
                <w:color w:val="333333"/>
                <w:kern w:val="0"/>
                <w:sz w:val="24"/>
                <w:szCs w:val="24"/>
              </w:rPr>
              <w:t xml:space="preserve"> </w:t>
            </w:r>
            <w:r>
              <w:rPr>
                <w:rFonts w:ascii="Times New Roman" w:hAnsi="Times New Roman" w:eastAsia="仿宋"/>
                <w:color w:val="333333"/>
                <w:kern w:val="0"/>
                <w:sz w:val="24"/>
                <w:szCs w:val="24"/>
              </w:rPr>
              <w:t xml:space="preserve">         </w:t>
            </w:r>
            <w:r>
              <w:rPr>
                <w:rFonts w:hint="eastAsia" w:ascii="Times New Roman" w:hAnsi="Times New Roman" w:eastAsia="仿宋"/>
                <w:color w:val="333333"/>
                <w:kern w:val="0"/>
                <w:sz w:val="24"/>
                <w:szCs w:val="24"/>
              </w:rPr>
              <w:t>参与集中经营者合计：</w:t>
            </w:r>
            <w:r>
              <w:rPr>
                <w:rFonts w:ascii="Times New Roman" w:hAnsi="Times New Roman" w:eastAsia="仿宋"/>
                <w:color w:val="333333"/>
                <w:kern w:val="0"/>
                <w:sz w:val="24"/>
                <w:szCs w:val="24"/>
              </w:rPr>
              <w:t>0</w:t>
            </w:r>
            <w:r>
              <w:rPr>
                <w:rFonts w:hint="eastAsia" w:ascii="Times New Roman" w:hAnsi="Times New Roman" w:eastAsia="仿宋"/>
                <w:color w:val="333333"/>
                <w:kern w:val="0"/>
                <w:sz w:val="24"/>
                <w:szCs w:val="24"/>
              </w:rPr>
              <w:t>-5</w:t>
            </w:r>
            <w:r>
              <w:rPr>
                <w:rFonts w:ascii="Times New Roman" w:hAnsi="Times New Roman" w:eastAsia="仿宋"/>
                <w:color w:val="333333"/>
                <w:kern w:val="0"/>
                <w:sz w:val="24"/>
                <w:szCs w:val="24"/>
              </w:rPr>
              <w:t>%</w:t>
            </w:r>
          </w:p>
        </w:tc>
      </w:tr>
    </w:tbl>
    <w:p>
      <w:pPr>
        <w:snapToGrid w:val="0"/>
        <w:spacing w:line="240" w:lineRule="exact"/>
        <w:jc w:val="left"/>
        <w:rPr>
          <w:rFonts w:ascii="Times New Roman" w:hAnsi="Times New Roman" w:eastAsia="楷体_GB2312"/>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altName w:val="汉仪中宋简"/>
    <w:panose1 w:val="02010600030101010101"/>
    <w:charset w:val="86"/>
    <w:family w:val="auto"/>
    <w:pitch w:val="default"/>
    <w:sig w:usb0="00000000" w:usb1="00000000" w:usb2="00000016" w:usb3="00000000" w:csb0="0004000F" w:csb1="00000000"/>
  </w:font>
  <w:font w:name="Wingdings 2">
    <w:panose1 w:val="05020102010507070707"/>
    <w:charset w:val="02"/>
    <w:family w:val="roman"/>
    <w:pitch w:val="default"/>
    <w:sig w:usb0="00000000" w:usb1="00000000" w:usb2="00000000" w:usb3="00000000" w:csb0="80000000" w:csb1="00000000"/>
  </w:font>
  <w:font w:name="楷体_GB2312">
    <w:altName w:val="楷体"/>
    <w:panose1 w:val="02010609030101010101"/>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A5B"/>
    <w:rsid w:val="004B4363"/>
    <w:rsid w:val="00506A5B"/>
    <w:rsid w:val="00531258"/>
    <w:rsid w:val="00680AF6"/>
    <w:rsid w:val="00AD4B4E"/>
    <w:rsid w:val="00B40CC6"/>
    <w:rsid w:val="00C10048"/>
    <w:rsid w:val="00D128F5"/>
    <w:rsid w:val="00DF03A1"/>
    <w:rsid w:val="00E526A8"/>
    <w:rsid w:val="BBB52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rFonts w:ascii="Calibri" w:hAnsi="Calibri" w:cs="Times New Roman"/>
      <w:sz w:val="18"/>
      <w:szCs w:val="18"/>
    </w:rPr>
  </w:style>
  <w:style w:type="character" w:customStyle="1" w:styleId="7">
    <w:name w:val="页脚 字符"/>
    <w:basedOn w:val="5"/>
    <w:link w:val="2"/>
    <w:qFormat/>
    <w:uiPriority w:val="99"/>
    <w:rPr>
      <w:rFonts w:ascii="Calibri" w:hAnsi="Calibri"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127</Words>
  <Characters>728</Characters>
  <Lines>6</Lines>
  <Paragraphs>1</Paragraphs>
  <TotalTime>4</TotalTime>
  <ScaleCrop>false</ScaleCrop>
  <LinksUpToDate>false</LinksUpToDate>
  <CharactersWithSpaces>854</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2021-12-03T12:54:00Z</dcterms:created>
  <dc:creator>XIE, Peiyan /ZL</dc:creator>
  <cp:lastModifiedBy>greatwall</cp:lastModifiedBy>
  <dcterms:modified xsi:type="dcterms:W3CDTF">2021-12-03T13:10:58Z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